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charts/chartEx2.xml" ContentType="application/vnd.ms-office.chartex+xml"/>
  <Override PartName="/word/charts/style2.xml" ContentType="application/vnd.ms-office.chartstyle+xml"/>
  <Override PartName="/word/charts/colors2.xml" ContentType="application/vnd.ms-office.chartcolorstyle+xml"/>
  <Override PartName="/word/charts/chart1.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2.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3.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4.xml" ContentType="application/vnd.openxmlformats-officedocument.drawingml.chart+xml"/>
  <Override PartName="/word/charts/style6.xml" ContentType="application/vnd.ms-office.chartstyle+xml"/>
  <Override PartName="/word/charts/colors6.xml" ContentType="application/vnd.ms-office.chartcolorsty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D99B8B" w14:textId="77777777" w:rsidR="0042088E" w:rsidRPr="005053C3" w:rsidRDefault="49746B0C" w:rsidP="002E590D">
      <w:pPr>
        <w:pStyle w:val="Default"/>
        <w:jc w:val="center"/>
        <w:rPr>
          <w:rFonts w:ascii="Times New Roman" w:hAnsi="Times New Roman" w:cs="Times New Roman"/>
          <w:b/>
          <w:bCs/>
        </w:rPr>
      </w:pPr>
      <w:bookmarkStart w:id="0" w:name="_GoBack"/>
      <w:bookmarkEnd w:id="0"/>
      <w:r>
        <w:rPr>
          <w:noProof/>
          <w:lang w:val="en-US" w:eastAsia="en-US"/>
        </w:rPr>
        <w:drawing>
          <wp:inline distT="0" distB="0" distL="0" distR="0" wp14:anchorId="6C804CB2" wp14:editId="36EB01A7">
            <wp:extent cx="1924050" cy="824593"/>
            <wp:effectExtent l="0" t="0" r="0" b="0"/>
            <wp:docPr id="7767392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1924050" cy="824593"/>
                    </a:xfrm>
                    <a:prstGeom prst="rect">
                      <a:avLst/>
                    </a:prstGeom>
                  </pic:spPr>
                </pic:pic>
              </a:graphicData>
            </a:graphic>
          </wp:inline>
        </w:drawing>
      </w:r>
    </w:p>
    <w:p w14:paraId="4030E210" w14:textId="77777777" w:rsidR="0042088E" w:rsidRPr="005053C3" w:rsidRDefault="0042088E" w:rsidP="002E590D">
      <w:pPr>
        <w:pStyle w:val="Default"/>
        <w:jc w:val="center"/>
        <w:rPr>
          <w:rFonts w:ascii="Times New Roman" w:hAnsi="Times New Roman" w:cs="Times New Roman"/>
          <w:b/>
          <w:bCs/>
        </w:rPr>
      </w:pPr>
    </w:p>
    <w:p w14:paraId="2E5D4CFD" w14:textId="77777777" w:rsidR="0042088E" w:rsidRPr="005053C3" w:rsidRDefault="0042088E" w:rsidP="002E590D">
      <w:pPr>
        <w:spacing w:after="0" w:line="240" w:lineRule="auto"/>
        <w:contextualSpacing/>
        <w:jc w:val="center"/>
        <w:rPr>
          <w:b/>
          <w:bCs/>
          <w:color w:val="000000" w:themeColor="text1"/>
          <w:lang w:val="en-GB"/>
        </w:rPr>
      </w:pPr>
    </w:p>
    <w:p w14:paraId="4C5F6332" w14:textId="7C45FF37" w:rsidR="0042088E" w:rsidRDefault="0042088E" w:rsidP="002E590D">
      <w:pPr>
        <w:spacing w:after="0" w:line="240" w:lineRule="auto"/>
        <w:contextualSpacing/>
        <w:jc w:val="center"/>
        <w:rPr>
          <w:b/>
          <w:bCs/>
          <w:color w:val="000000" w:themeColor="text1"/>
          <w:lang w:val="en-GB"/>
        </w:rPr>
      </w:pPr>
    </w:p>
    <w:p w14:paraId="245CDEB6" w14:textId="19D8BE2B" w:rsidR="00681EA9" w:rsidRDefault="00681EA9" w:rsidP="002E590D">
      <w:pPr>
        <w:spacing w:after="0" w:line="240" w:lineRule="auto"/>
        <w:contextualSpacing/>
        <w:jc w:val="center"/>
        <w:rPr>
          <w:b/>
          <w:bCs/>
          <w:color w:val="000000" w:themeColor="text1"/>
          <w:lang w:val="en-GB"/>
        </w:rPr>
      </w:pPr>
    </w:p>
    <w:p w14:paraId="2B042721" w14:textId="595DD69B" w:rsidR="00681EA9" w:rsidRDefault="00681EA9" w:rsidP="002E590D">
      <w:pPr>
        <w:spacing w:after="0" w:line="240" w:lineRule="auto"/>
        <w:contextualSpacing/>
        <w:jc w:val="center"/>
        <w:rPr>
          <w:b/>
          <w:bCs/>
          <w:color w:val="000000" w:themeColor="text1"/>
          <w:lang w:val="en-GB"/>
        </w:rPr>
      </w:pPr>
    </w:p>
    <w:p w14:paraId="7FFEEC4B" w14:textId="71BC0057" w:rsidR="00681EA9" w:rsidRDefault="00681EA9" w:rsidP="002E590D">
      <w:pPr>
        <w:spacing w:after="0" w:line="240" w:lineRule="auto"/>
        <w:contextualSpacing/>
        <w:jc w:val="center"/>
        <w:rPr>
          <w:b/>
          <w:bCs/>
          <w:color w:val="000000" w:themeColor="text1"/>
          <w:lang w:val="en-GB"/>
        </w:rPr>
      </w:pPr>
    </w:p>
    <w:p w14:paraId="5465F6A0" w14:textId="66B33D0D" w:rsidR="00681EA9" w:rsidRDefault="00681EA9" w:rsidP="002E590D">
      <w:pPr>
        <w:spacing w:after="0" w:line="240" w:lineRule="auto"/>
        <w:contextualSpacing/>
        <w:jc w:val="center"/>
        <w:rPr>
          <w:b/>
          <w:bCs/>
          <w:color w:val="000000" w:themeColor="text1"/>
          <w:lang w:val="en-GB"/>
        </w:rPr>
      </w:pPr>
    </w:p>
    <w:p w14:paraId="053A0F44" w14:textId="1F685AA1" w:rsidR="00681EA9" w:rsidRDefault="00681EA9" w:rsidP="002E590D">
      <w:pPr>
        <w:spacing w:after="0" w:line="240" w:lineRule="auto"/>
        <w:contextualSpacing/>
        <w:jc w:val="center"/>
        <w:rPr>
          <w:b/>
          <w:bCs/>
          <w:color w:val="000000" w:themeColor="text1"/>
          <w:lang w:val="en-GB"/>
        </w:rPr>
      </w:pPr>
    </w:p>
    <w:p w14:paraId="01698B70" w14:textId="4916FCF6" w:rsidR="00681EA9" w:rsidRDefault="00681EA9" w:rsidP="002E590D">
      <w:pPr>
        <w:spacing w:after="0" w:line="240" w:lineRule="auto"/>
        <w:contextualSpacing/>
        <w:jc w:val="center"/>
        <w:rPr>
          <w:b/>
          <w:bCs/>
          <w:color w:val="000000" w:themeColor="text1"/>
          <w:lang w:val="en-GB"/>
        </w:rPr>
      </w:pPr>
    </w:p>
    <w:p w14:paraId="11F348D5" w14:textId="3D3DBBB1" w:rsidR="00681EA9" w:rsidRDefault="00681EA9" w:rsidP="002E590D">
      <w:pPr>
        <w:spacing w:after="0" w:line="240" w:lineRule="auto"/>
        <w:contextualSpacing/>
        <w:jc w:val="center"/>
        <w:rPr>
          <w:b/>
          <w:bCs/>
          <w:color w:val="000000" w:themeColor="text1"/>
          <w:lang w:val="en-GB"/>
        </w:rPr>
      </w:pPr>
    </w:p>
    <w:p w14:paraId="04564481" w14:textId="7C8EBC1C" w:rsidR="00681EA9" w:rsidRDefault="00681EA9" w:rsidP="002E590D">
      <w:pPr>
        <w:spacing w:after="0" w:line="240" w:lineRule="auto"/>
        <w:contextualSpacing/>
        <w:jc w:val="center"/>
        <w:rPr>
          <w:b/>
          <w:bCs/>
          <w:color w:val="000000" w:themeColor="text1"/>
          <w:lang w:val="en-GB"/>
        </w:rPr>
      </w:pPr>
    </w:p>
    <w:p w14:paraId="0AD387AB" w14:textId="70086A95" w:rsidR="00681EA9" w:rsidRDefault="00681EA9" w:rsidP="002E590D">
      <w:pPr>
        <w:spacing w:after="0" w:line="240" w:lineRule="auto"/>
        <w:contextualSpacing/>
        <w:jc w:val="center"/>
        <w:rPr>
          <w:b/>
          <w:bCs/>
          <w:color w:val="000000" w:themeColor="text1"/>
          <w:lang w:val="en-GB"/>
        </w:rPr>
      </w:pPr>
    </w:p>
    <w:p w14:paraId="0DEDD091" w14:textId="7766F6A8" w:rsidR="00681EA9" w:rsidRDefault="00681EA9" w:rsidP="002E590D">
      <w:pPr>
        <w:spacing w:after="0" w:line="240" w:lineRule="auto"/>
        <w:contextualSpacing/>
        <w:jc w:val="center"/>
        <w:rPr>
          <w:b/>
          <w:bCs/>
          <w:color w:val="000000" w:themeColor="text1"/>
          <w:lang w:val="en-GB"/>
        </w:rPr>
      </w:pPr>
    </w:p>
    <w:p w14:paraId="44117CC6" w14:textId="6DEC8793" w:rsidR="00681EA9" w:rsidRDefault="00681EA9" w:rsidP="002E590D">
      <w:pPr>
        <w:spacing w:after="0" w:line="240" w:lineRule="auto"/>
        <w:contextualSpacing/>
        <w:jc w:val="center"/>
        <w:rPr>
          <w:b/>
          <w:bCs/>
          <w:color w:val="000000" w:themeColor="text1"/>
          <w:lang w:val="en-GB"/>
        </w:rPr>
      </w:pPr>
    </w:p>
    <w:p w14:paraId="261A15D4" w14:textId="51C43092" w:rsidR="00681EA9" w:rsidRDefault="00681EA9" w:rsidP="002E590D">
      <w:pPr>
        <w:spacing w:after="0" w:line="240" w:lineRule="auto"/>
        <w:contextualSpacing/>
        <w:jc w:val="center"/>
        <w:rPr>
          <w:b/>
          <w:bCs/>
          <w:color w:val="000000" w:themeColor="text1"/>
          <w:lang w:val="en-GB"/>
        </w:rPr>
      </w:pPr>
    </w:p>
    <w:p w14:paraId="6E88209C" w14:textId="7757FD20" w:rsidR="00681EA9" w:rsidRDefault="00681EA9" w:rsidP="002E590D">
      <w:pPr>
        <w:spacing w:after="0" w:line="240" w:lineRule="auto"/>
        <w:contextualSpacing/>
        <w:jc w:val="center"/>
        <w:rPr>
          <w:b/>
          <w:bCs/>
          <w:color w:val="000000" w:themeColor="text1"/>
          <w:lang w:val="en-GB"/>
        </w:rPr>
      </w:pPr>
    </w:p>
    <w:p w14:paraId="0596A998" w14:textId="7FF4CE28" w:rsidR="00681EA9" w:rsidRDefault="00681EA9" w:rsidP="002E590D">
      <w:pPr>
        <w:spacing w:after="0" w:line="240" w:lineRule="auto"/>
        <w:contextualSpacing/>
        <w:jc w:val="center"/>
        <w:rPr>
          <w:b/>
          <w:bCs/>
          <w:color w:val="000000" w:themeColor="text1"/>
          <w:lang w:val="en-GB"/>
        </w:rPr>
      </w:pPr>
    </w:p>
    <w:p w14:paraId="6D95DF98" w14:textId="29AFCF38" w:rsidR="00681EA9" w:rsidRDefault="00681EA9" w:rsidP="002E590D">
      <w:pPr>
        <w:spacing w:after="0" w:line="240" w:lineRule="auto"/>
        <w:contextualSpacing/>
        <w:jc w:val="center"/>
        <w:rPr>
          <w:b/>
          <w:bCs/>
          <w:color w:val="000000" w:themeColor="text1"/>
          <w:lang w:val="en-GB"/>
        </w:rPr>
      </w:pPr>
    </w:p>
    <w:p w14:paraId="58AD5AB4" w14:textId="77777777" w:rsidR="00681EA9" w:rsidRPr="005053C3" w:rsidRDefault="00681EA9" w:rsidP="002E590D">
      <w:pPr>
        <w:spacing w:after="0" w:line="240" w:lineRule="auto"/>
        <w:contextualSpacing/>
        <w:jc w:val="center"/>
        <w:rPr>
          <w:b/>
          <w:bCs/>
          <w:color w:val="000000" w:themeColor="text1"/>
          <w:lang w:val="en-GB"/>
        </w:rPr>
      </w:pPr>
    </w:p>
    <w:p w14:paraId="026D547A" w14:textId="77777777" w:rsidR="0042088E" w:rsidRPr="005053C3" w:rsidRDefault="0042088E" w:rsidP="002E590D">
      <w:pPr>
        <w:spacing w:after="0" w:line="240" w:lineRule="auto"/>
        <w:contextualSpacing/>
        <w:jc w:val="center"/>
        <w:rPr>
          <w:b/>
          <w:bCs/>
          <w:color w:val="000000" w:themeColor="text1"/>
          <w:lang w:val="en-GB"/>
        </w:rPr>
      </w:pPr>
    </w:p>
    <w:p w14:paraId="374E8198" w14:textId="77777777" w:rsidR="0042088E" w:rsidRPr="005053C3" w:rsidRDefault="0042088E" w:rsidP="002E590D">
      <w:pPr>
        <w:spacing w:after="0" w:line="240" w:lineRule="auto"/>
        <w:contextualSpacing/>
        <w:jc w:val="center"/>
        <w:rPr>
          <w:b/>
          <w:bCs/>
          <w:color w:val="000000" w:themeColor="text1"/>
          <w:lang w:val="en-GB"/>
        </w:rPr>
      </w:pPr>
    </w:p>
    <w:p w14:paraId="59CE83AE" w14:textId="77777777" w:rsidR="0042088E" w:rsidRPr="005053C3" w:rsidRDefault="0042088E" w:rsidP="002E590D">
      <w:pPr>
        <w:spacing w:after="0" w:line="240" w:lineRule="auto"/>
        <w:jc w:val="center"/>
        <w:rPr>
          <w:b/>
          <w:bCs/>
          <w:color w:val="000000" w:themeColor="text1"/>
          <w:lang w:val="en-GB"/>
        </w:rPr>
      </w:pPr>
    </w:p>
    <w:p w14:paraId="629E846C" w14:textId="77777777" w:rsidR="0042088E" w:rsidRPr="005053C3" w:rsidRDefault="0042088E" w:rsidP="002E590D">
      <w:pPr>
        <w:spacing w:after="0" w:line="240" w:lineRule="auto"/>
        <w:jc w:val="center"/>
        <w:rPr>
          <w:b/>
          <w:bCs/>
          <w:color w:val="000000" w:themeColor="text1"/>
          <w:lang w:val="en-GB"/>
        </w:rPr>
      </w:pPr>
    </w:p>
    <w:p w14:paraId="764B17BF" w14:textId="77777777" w:rsidR="0042088E" w:rsidRPr="005053C3" w:rsidRDefault="49746B0C" w:rsidP="002E590D">
      <w:pPr>
        <w:spacing w:after="0" w:line="240" w:lineRule="auto"/>
        <w:jc w:val="center"/>
        <w:rPr>
          <w:rFonts w:eastAsiaTheme="majorEastAsia"/>
          <w:b/>
          <w:bCs/>
          <w:sz w:val="44"/>
          <w:szCs w:val="44"/>
          <w:lang w:val="en-GB"/>
        </w:rPr>
      </w:pPr>
      <w:r w:rsidRPr="005053C3">
        <w:rPr>
          <w:b/>
          <w:bCs/>
          <w:color w:val="000000" w:themeColor="text1"/>
          <w:sz w:val="44"/>
          <w:szCs w:val="44"/>
          <w:lang w:val="en-GB"/>
        </w:rPr>
        <w:t>Costing and payment model design for Georgian primary health care</w:t>
      </w:r>
    </w:p>
    <w:p w14:paraId="39DAE589" w14:textId="77777777" w:rsidR="0042088E" w:rsidRPr="005053C3" w:rsidRDefault="0042088E" w:rsidP="002E590D">
      <w:pPr>
        <w:spacing w:after="0" w:line="240" w:lineRule="auto"/>
        <w:rPr>
          <w:rFonts w:eastAsiaTheme="majorEastAsia"/>
          <w:b/>
          <w:bCs/>
          <w:sz w:val="44"/>
          <w:szCs w:val="44"/>
          <w:lang w:val="en-GB"/>
        </w:rPr>
      </w:pPr>
    </w:p>
    <w:p w14:paraId="1DA48905" w14:textId="0D7D908C" w:rsidR="0042088E" w:rsidRDefault="0042088E" w:rsidP="002E590D">
      <w:pPr>
        <w:spacing w:after="0" w:line="240" w:lineRule="auto"/>
        <w:rPr>
          <w:rFonts w:eastAsiaTheme="majorEastAsia"/>
          <w:b/>
          <w:bCs/>
          <w:lang w:val="en-GB"/>
        </w:rPr>
      </w:pPr>
    </w:p>
    <w:p w14:paraId="251F0694" w14:textId="324C2CB0" w:rsidR="00681EA9" w:rsidRDefault="00681EA9" w:rsidP="002E590D">
      <w:pPr>
        <w:spacing w:after="0" w:line="240" w:lineRule="auto"/>
        <w:rPr>
          <w:rFonts w:eastAsiaTheme="majorEastAsia"/>
          <w:b/>
          <w:bCs/>
          <w:lang w:val="en-GB"/>
        </w:rPr>
      </w:pPr>
    </w:p>
    <w:p w14:paraId="2F5B3C5F" w14:textId="5A27D995" w:rsidR="00681EA9" w:rsidRDefault="00681EA9" w:rsidP="002E590D">
      <w:pPr>
        <w:spacing w:after="0" w:line="240" w:lineRule="auto"/>
        <w:rPr>
          <w:rFonts w:eastAsiaTheme="majorEastAsia"/>
          <w:b/>
          <w:bCs/>
          <w:lang w:val="en-GB"/>
        </w:rPr>
      </w:pPr>
    </w:p>
    <w:p w14:paraId="45D31780" w14:textId="4E395254" w:rsidR="00681EA9" w:rsidRDefault="00681EA9" w:rsidP="002E590D">
      <w:pPr>
        <w:spacing w:after="0" w:line="240" w:lineRule="auto"/>
        <w:rPr>
          <w:rFonts w:eastAsiaTheme="majorEastAsia"/>
          <w:b/>
          <w:bCs/>
          <w:lang w:val="en-GB"/>
        </w:rPr>
      </w:pPr>
    </w:p>
    <w:p w14:paraId="08184FA3" w14:textId="27B3E201" w:rsidR="00681EA9" w:rsidRDefault="00681EA9" w:rsidP="002E590D">
      <w:pPr>
        <w:spacing w:after="0" w:line="240" w:lineRule="auto"/>
        <w:rPr>
          <w:rFonts w:eastAsiaTheme="majorEastAsia"/>
          <w:b/>
          <w:bCs/>
          <w:lang w:val="en-GB"/>
        </w:rPr>
      </w:pPr>
    </w:p>
    <w:p w14:paraId="3AF20646" w14:textId="71E770F6" w:rsidR="00681EA9" w:rsidRDefault="00681EA9" w:rsidP="002E590D">
      <w:pPr>
        <w:spacing w:after="0" w:line="240" w:lineRule="auto"/>
        <w:rPr>
          <w:rFonts w:eastAsiaTheme="majorEastAsia"/>
          <w:b/>
          <w:bCs/>
          <w:lang w:val="en-GB"/>
        </w:rPr>
      </w:pPr>
    </w:p>
    <w:p w14:paraId="56E57CC9" w14:textId="3CF108C1" w:rsidR="00681EA9" w:rsidRDefault="00681EA9" w:rsidP="002E590D">
      <w:pPr>
        <w:spacing w:after="0" w:line="240" w:lineRule="auto"/>
        <w:rPr>
          <w:rFonts w:eastAsiaTheme="majorEastAsia"/>
          <w:b/>
          <w:bCs/>
          <w:lang w:val="en-GB"/>
        </w:rPr>
      </w:pPr>
    </w:p>
    <w:p w14:paraId="05E9B6DF" w14:textId="72194BEC" w:rsidR="00681EA9" w:rsidRDefault="00681EA9" w:rsidP="002E590D">
      <w:pPr>
        <w:spacing w:after="0" w:line="240" w:lineRule="auto"/>
        <w:rPr>
          <w:rFonts w:eastAsiaTheme="majorEastAsia"/>
          <w:b/>
          <w:bCs/>
          <w:lang w:val="en-GB"/>
        </w:rPr>
      </w:pPr>
    </w:p>
    <w:p w14:paraId="4F827E71" w14:textId="77777777" w:rsidR="00681EA9" w:rsidRPr="005053C3" w:rsidRDefault="00681EA9" w:rsidP="002E590D">
      <w:pPr>
        <w:spacing w:after="0" w:line="240" w:lineRule="auto"/>
        <w:rPr>
          <w:rFonts w:eastAsiaTheme="majorEastAsia"/>
          <w:b/>
          <w:bCs/>
          <w:lang w:val="en-GB"/>
        </w:rPr>
      </w:pPr>
    </w:p>
    <w:p w14:paraId="4C294CE6" w14:textId="77777777" w:rsidR="0042088E" w:rsidRPr="005053C3" w:rsidRDefault="0042088E" w:rsidP="002E590D">
      <w:pPr>
        <w:spacing w:after="0" w:line="240" w:lineRule="auto"/>
        <w:rPr>
          <w:rFonts w:eastAsiaTheme="majorEastAsia"/>
          <w:b/>
          <w:bCs/>
          <w:lang w:val="en-GB"/>
        </w:rPr>
      </w:pPr>
    </w:p>
    <w:p w14:paraId="6777E35A" w14:textId="77777777" w:rsidR="0042088E" w:rsidRPr="005053C3" w:rsidRDefault="0042088E" w:rsidP="002E590D">
      <w:pPr>
        <w:spacing w:after="0" w:line="240" w:lineRule="auto"/>
        <w:rPr>
          <w:rFonts w:eastAsiaTheme="majorEastAsia"/>
          <w:b/>
          <w:bCs/>
          <w:lang w:val="en-GB"/>
        </w:rPr>
      </w:pPr>
    </w:p>
    <w:p w14:paraId="7D59DEB1" w14:textId="77777777" w:rsidR="0042088E" w:rsidRPr="005053C3" w:rsidRDefault="0042088E" w:rsidP="002E590D">
      <w:pPr>
        <w:spacing w:after="0" w:line="240" w:lineRule="auto"/>
        <w:rPr>
          <w:rFonts w:eastAsiaTheme="majorEastAsia"/>
          <w:b/>
          <w:bCs/>
          <w:lang w:val="en-GB"/>
        </w:rPr>
      </w:pPr>
    </w:p>
    <w:p w14:paraId="7BC114D3" w14:textId="77777777" w:rsidR="0042088E" w:rsidRPr="005053C3" w:rsidRDefault="49746B0C" w:rsidP="002E590D">
      <w:pPr>
        <w:spacing w:after="0" w:line="240" w:lineRule="auto"/>
        <w:jc w:val="center"/>
        <w:rPr>
          <w:b/>
          <w:bCs/>
          <w:color w:val="000000" w:themeColor="text1"/>
          <w:sz w:val="28"/>
          <w:szCs w:val="28"/>
          <w:lang w:val="en-GB"/>
        </w:rPr>
      </w:pPr>
      <w:r w:rsidRPr="005053C3">
        <w:rPr>
          <w:b/>
          <w:bCs/>
          <w:color w:val="000000" w:themeColor="text1"/>
          <w:sz w:val="28"/>
          <w:szCs w:val="28"/>
          <w:lang w:val="en-GB"/>
        </w:rPr>
        <w:t>TECHNICAL REPORT</w:t>
      </w:r>
    </w:p>
    <w:p w14:paraId="3948CB7A" w14:textId="77777777" w:rsidR="0042088E" w:rsidRPr="005053C3" w:rsidRDefault="0042088E" w:rsidP="002E590D">
      <w:pPr>
        <w:spacing w:after="0" w:line="240" w:lineRule="auto"/>
        <w:rPr>
          <w:rFonts w:eastAsiaTheme="majorEastAsia"/>
          <w:b/>
          <w:bCs/>
          <w:lang w:val="en-GB"/>
        </w:rPr>
      </w:pPr>
    </w:p>
    <w:p w14:paraId="38B2E5A8" w14:textId="77777777" w:rsidR="0042088E" w:rsidRPr="005053C3" w:rsidRDefault="0042088E" w:rsidP="002E590D">
      <w:pPr>
        <w:spacing w:after="0" w:line="240" w:lineRule="auto"/>
        <w:rPr>
          <w:rFonts w:eastAsiaTheme="majorEastAsia"/>
          <w:b/>
          <w:bCs/>
          <w:lang w:val="en-GB"/>
        </w:rPr>
      </w:pPr>
    </w:p>
    <w:p w14:paraId="42212BCF" w14:textId="4528D1B3" w:rsidR="0042088E" w:rsidRPr="005053C3" w:rsidRDefault="00AD6666" w:rsidP="002E590D">
      <w:pPr>
        <w:spacing w:after="0" w:line="240" w:lineRule="auto"/>
        <w:jc w:val="center"/>
        <w:rPr>
          <w:rFonts w:eastAsiaTheme="majorEastAsia"/>
          <w:b/>
          <w:bCs/>
          <w:sz w:val="28"/>
          <w:szCs w:val="28"/>
          <w:lang w:val="en-GB"/>
        </w:rPr>
      </w:pPr>
      <w:r w:rsidRPr="005053C3">
        <w:rPr>
          <w:rFonts w:eastAsiaTheme="majorEastAsia"/>
          <w:b/>
          <w:bCs/>
          <w:sz w:val="28"/>
          <w:szCs w:val="28"/>
          <w:lang w:val="en-GB"/>
        </w:rPr>
        <w:t>January</w:t>
      </w:r>
      <w:r w:rsidR="49746B0C" w:rsidRPr="005053C3">
        <w:rPr>
          <w:rFonts w:eastAsiaTheme="majorEastAsia"/>
          <w:b/>
          <w:bCs/>
          <w:sz w:val="28"/>
          <w:szCs w:val="28"/>
          <w:lang w:val="en-GB"/>
        </w:rPr>
        <w:t xml:space="preserve"> 202</w:t>
      </w:r>
      <w:r w:rsidRPr="005053C3">
        <w:rPr>
          <w:rFonts w:eastAsiaTheme="majorEastAsia"/>
          <w:b/>
          <w:bCs/>
          <w:sz w:val="28"/>
          <w:szCs w:val="28"/>
          <w:lang w:val="en-GB"/>
        </w:rPr>
        <w:t>1</w:t>
      </w:r>
    </w:p>
    <w:p w14:paraId="0D9A6C82" w14:textId="77777777" w:rsidR="0042088E" w:rsidRPr="005053C3" w:rsidRDefault="0042088E" w:rsidP="002E590D">
      <w:pPr>
        <w:spacing w:after="0" w:line="240" w:lineRule="auto"/>
        <w:rPr>
          <w:rFonts w:eastAsiaTheme="majorEastAsia"/>
          <w:b/>
          <w:bCs/>
          <w:color w:val="1861A8"/>
          <w:sz w:val="28"/>
          <w:szCs w:val="28"/>
          <w:lang w:val="en-GB"/>
        </w:rPr>
      </w:pPr>
      <w:r w:rsidRPr="005053C3">
        <w:rPr>
          <w:rFonts w:eastAsiaTheme="majorEastAsia"/>
          <w:b/>
          <w:bCs/>
          <w:color w:val="1861A8"/>
          <w:sz w:val="28"/>
          <w:szCs w:val="28"/>
          <w:lang w:val="en-GB"/>
        </w:rPr>
        <w:br w:type="page"/>
      </w:r>
    </w:p>
    <w:p w14:paraId="5C8897CA" w14:textId="77777777" w:rsidR="0043067C" w:rsidRPr="005053C3" w:rsidRDefault="0043067C" w:rsidP="002E590D">
      <w:pPr>
        <w:spacing w:after="0" w:line="240" w:lineRule="auto"/>
        <w:jc w:val="both"/>
        <w:rPr>
          <w:rFonts w:cstheme="minorHAnsi"/>
          <w:b/>
          <w:bCs/>
          <w:lang w:val="en-GB"/>
        </w:rPr>
      </w:pPr>
    </w:p>
    <w:bookmarkStart w:id="1" w:name="_Toc14682663" w:displacedByCustomXml="next"/>
    <w:sdt>
      <w:sdtPr>
        <w:rPr>
          <w:lang w:val="en-GB"/>
        </w:rPr>
        <w:id w:val="-98096453"/>
        <w:docPartObj>
          <w:docPartGallery w:val="Table of Contents"/>
          <w:docPartUnique/>
        </w:docPartObj>
      </w:sdtPr>
      <w:sdtEndPr>
        <w:rPr>
          <w:b/>
          <w:bCs/>
        </w:rPr>
      </w:sdtEndPr>
      <w:sdtContent>
        <w:p w14:paraId="785D6AC6" w14:textId="777F8945" w:rsidR="00533F36" w:rsidRPr="00533F36" w:rsidRDefault="0F166960" w:rsidP="00533F36">
          <w:pPr>
            <w:pStyle w:val="TOC1"/>
            <w:tabs>
              <w:tab w:val="right" w:leader="dot" w:pos="9062"/>
            </w:tabs>
            <w:spacing w:after="0" w:line="240" w:lineRule="auto"/>
            <w:rPr>
              <w:b/>
              <w:bCs/>
              <w:lang w:val="en-GB"/>
            </w:rPr>
          </w:pPr>
          <w:r w:rsidRPr="00533F36">
            <w:rPr>
              <w:rStyle w:val="Heading1Char"/>
              <w:b/>
              <w:bCs/>
              <w:color w:val="auto"/>
              <w:lang w:val="en-GB"/>
            </w:rPr>
            <w:t>Table of content</w:t>
          </w:r>
          <w:r w:rsidRPr="00533F36">
            <w:rPr>
              <w:b/>
              <w:bCs/>
              <w:lang w:val="en-GB"/>
            </w:rPr>
            <w:t xml:space="preserve"> </w:t>
          </w:r>
        </w:p>
        <w:p w14:paraId="18C9972A" w14:textId="77777777" w:rsidR="00533F36" w:rsidRPr="00533F36" w:rsidRDefault="00533F36">
          <w:pPr>
            <w:pStyle w:val="TOC1"/>
            <w:tabs>
              <w:tab w:val="right" w:leader="dot" w:pos="9062"/>
            </w:tabs>
            <w:rPr>
              <w:rFonts w:asciiTheme="majorHAnsi" w:eastAsiaTheme="majorEastAsia" w:hAnsiTheme="majorHAnsi" w:cstheme="majorBidi"/>
              <w:sz w:val="32"/>
              <w:szCs w:val="32"/>
              <w:lang w:val="en-GB" w:eastAsia="et-EE"/>
            </w:rPr>
          </w:pPr>
        </w:p>
        <w:p w14:paraId="4A41F22E" w14:textId="36CF3F21" w:rsidR="001B572A" w:rsidRPr="001B572A" w:rsidRDefault="000455A7">
          <w:pPr>
            <w:pStyle w:val="TOC1"/>
            <w:tabs>
              <w:tab w:val="right" w:leader="dot" w:pos="9062"/>
            </w:tabs>
            <w:rPr>
              <w:rFonts w:eastAsiaTheme="minorEastAsia"/>
              <w:noProof/>
              <w:lang w:eastAsia="et-EE"/>
            </w:rPr>
          </w:pPr>
          <w:r w:rsidRPr="001B572A">
            <w:rPr>
              <w:rFonts w:asciiTheme="majorHAnsi" w:eastAsiaTheme="majorEastAsia" w:hAnsiTheme="majorHAnsi" w:cstheme="majorBidi"/>
              <w:color w:val="2F5496" w:themeColor="accent1" w:themeShade="BF"/>
              <w:sz w:val="32"/>
              <w:szCs w:val="32"/>
              <w:lang w:val="en-GB" w:eastAsia="et-EE"/>
            </w:rPr>
            <w:fldChar w:fldCharType="begin"/>
          </w:r>
          <w:r w:rsidRPr="001B572A">
            <w:rPr>
              <w:lang w:val="en-GB"/>
            </w:rPr>
            <w:instrText xml:space="preserve"> TOC \o "1-3" \h \z \u </w:instrText>
          </w:r>
          <w:r w:rsidRPr="001B572A">
            <w:rPr>
              <w:rFonts w:asciiTheme="majorHAnsi" w:eastAsiaTheme="majorEastAsia" w:hAnsiTheme="majorHAnsi" w:cstheme="majorBidi"/>
              <w:color w:val="2F5496" w:themeColor="accent1" w:themeShade="BF"/>
              <w:sz w:val="32"/>
              <w:szCs w:val="32"/>
              <w:lang w:val="en-GB" w:eastAsia="et-EE"/>
            </w:rPr>
            <w:fldChar w:fldCharType="separate"/>
          </w:r>
          <w:hyperlink w:anchor="_Toc62149244" w:history="1">
            <w:r w:rsidR="001B572A" w:rsidRPr="001B572A">
              <w:rPr>
                <w:rStyle w:val="Hyperlink"/>
                <w:noProof/>
                <w:lang w:val="en-GB"/>
              </w:rPr>
              <w:t>1. Objective of the document</w:t>
            </w:r>
            <w:r w:rsidR="001B572A" w:rsidRPr="001B572A">
              <w:rPr>
                <w:noProof/>
                <w:webHidden/>
              </w:rPr>
              <w:tab/>
            </w:r>
            <w:r w:rsidR="001B572A" w:rsidRPr="001B572A">
              <w:rPr>
                <w:noProof/>
                <w:webHidden/>
              </w:rPr>
              <w:fldChar w:fldCharType="begin"/>
            </w:r>
            <w:r w:rsidR="001B572A" w:rsidRPr="001B572A">
              <w:rPr>
                <w:noProof/>
                <w:webHidden/>
              </w:rPr>
              <w:instrText xml:space="preserve"> PAGEREF _Toc62149244 \h </w:instrText>
            </w:r>
            <w:r w:rsidR="001B572A" w:rsidRPr="001B572A">
              <w:rPr>
                <w:noProof/>
                <w:webHidden/>
              </w:rPr>
            </w:r>
            <w:r w:rsidR="001B572A" w:rsidRPr="001B572A">
              <w:rPr>
                <w:noProof/>
                <w:webHidden/>
              </w:rPr>
              <w:fldChar w:fldCharType="separate"/>
            </w:r>
            <w:r w:rsidR="001829C7">
              <w:rPr>
                <w:noProof/>
                <w:webHidden/>
              </w:rPr>
              <w:t>3</w:t>
            </w:r>
            <w:r w:rsidR="001B572A" w:rsidRPr="001B572A">
              <w:rPr>
                <w:noProof/>
                <w:webHidden/>
              </w:rPr>
              <w:fldChar w:fldCharType="end"/>
            </w:r>
          </w:hyperlink>
        </w:p>
        <w:p w14:paraId="5EF4AB65" w14:textId="2C47405D" w:rsidR="001B572A" w:rsidRPr="001B572A" w:rsidRDefault="008C44F9">
          <w:pPr>
            <w:pStyle w:val="TOC1"/>
            <w:tabs>
              <w:tab w:val="right" w:leader="dot" w:pos="9062"/>
            </w:tabs>
            <w:rPr>
              <w:rFonts w:eastAsiaTheme="minorEastAsia"/>
              <w:noProof/>
              <w:lang w:eastAsia="et-EE"/>
            </w:rPr>
          </w:pPr>
          <w:hyperlink w:anchor="_Toc62149245" w:history="1">
            <w:r w:rsidR="001B572A" w:rsidRPr="001B572A">
              <w:rPr>
                <w:rStyle w:val="Hyperlink"/>
                <w:noProof/>
                <w:lang w:val="en-GB"/>
              </w:rPr>
              <w:t>2. Provider information</w:t>
            </w:r>
            <w:r w:rsidR="001B572A" w:rsidRPr="001B572A">
              <w:rPr>
                <w:noProof/>
                <w:webHidden/>
              </w:rPr>
              <w:tab/>
            </w:r>
            <w:r w:rsidR="001B572A" w:rsidRPr="001B572A">
              <w:rPr>
                <w:noProof/>
                <w:webHidden/>
              </w:rPr>
              <w:fldChar w:fldCharType="begin"/>
            </w:r>
            <w:r w:rsidR="001B572A" w:rsidRPr="001B572A">
              <w:rPr>
                <w:noProof/>
                <w:webHidden/>
              </w:rPr>
              <w:instrText xml:space="preserve"> PAGEREF _Toc62149245 \h </w:instrText>
            </w:r>
            <w:r w:rsidR="001B572A" w:rsidRPr="001B572A">
              <w:rPr>
                <w:noProof/>
                <w:webHidden/>
              </w:rPr>
            </w:r>
            <w:r w:rsidR="001B572A" w:rsidRPr="001B572A">
              <w:rPr>
                <w:noProof/>
                <w:webHidden/>
              </w:rPr>
              <w:fldChar w:fldCharType="separate"/>
            </w:r>
            <w:r w:rsidR="001829C7">
              <w:rPr>
                <w:noProof/>
                <w:webHidden/>
              </w:rPr>
              <w:t>3</w:t>
            </w:r>
            <w:r w:rsidR="001B572A" w:rsidRPr="001B572A">
              <w:rPr>
                <w:noProof/>
                <w:webHidden/>
              </w:rPr>
              <w:fldChar w:fldCharType="end"/>
            </w:r>
          </w:hyperlink>
        </w:p>
        <w:p w14:paraId="6B6035FA" w14:textId="05CBED9A" w:rsidR="001B572A" w:rsidRPr="001B572A" w:rsidRDefault="008C44F9">
          <w:pPr>
            <w:pStyle w:val="TOC1"/>
            <w:tabs>
              <w:tab w:val="right" w:leader="dot" w:pos="9062"/>
            </w:tabs>
            <w:rPr>
              <w:rFonts w:eastAsiaTheme="minorEastAsia"/>
              <w:noProof/>
              <w:lang w:eastAsia="et-EE"/>
            </w:rPr>
          </w:pPr>
          <w:hyperlink w:anchor="_Toc62149246" w:history="1">
            <w:r w:rsidR="001B572A" w:rsidRPr="001B572A">
              <w:rPr>
                <w:rStyle w:val="Hyperlink"/>
                <w:noProof/>
                <w:lang w:val="en-GB"/>
              </w:rPr>
              <w:t>3. Scope of PHC services</w:t>
            </w:r>
            <w:r w:rsidR="001B572A" w:rsidRPr="001B572A">
              <w:rPr>
                <w:noProof/>
                <w:webHidden/>
              </w:rPr>
              <w:tab/>
            </w:r>
            <w:r w:rsidR="001B572A" w:rsidRPr="001B572A">
              <w:rPr>
                <w:noProof/>
                <w:webHidden/>
              </w:rPr>
              <w:fldChar w:fldCharType="begin"/>
            </w:r>
            <w:r w:rsidR="001B572A" w:rsidRPr="001B572A">
              <w:rPr>
                <w:noProof/>
                <w:webHidden/>
              </w:rPr>
              <w:instrText xml:space="preserve"> PAGEREF _Toc62149246 \h </w:instrText>
            </w:r>
            <w:r w:rsidR="001B572A" w:rsidRPr="001B572A">
              <w:rPr>
                <w:noProof/>
                <w:webHidden/>
              </w:rPr>
            </w:r>
            <w:r w:rsidR="001B572A" w:rsidRPr="001B572A">
              <w:rPr>
                <w:noProof/>
                <w:webHidden/>
              </w:rPr>
              <w:fldChar w:fldCharType="separate"/>
            </w:r>
            <w:r w:rsidR="001829C7">
              <w:rPr>
                <w:noProof/>
                <w:webHidden/>
              </w:rPr>
              <w:t>8</w:t>
            </w:r>
            <w:r w:rsidR="001B572A" w:rsidRPr="001B572A">
              <w:rPr>
                <w:noProof/>
                <w:webHidden/>
              </w:rPr>
              <w:fldChar w:fldCharType="end"/>
            </w:r>
          </w:hyperlink>
        </w:p>
        <w:p w14:paraId="6503B46D" w14:textId="14463354" w:rsidR="001B572A" w:rsidRPr="001B572A" w:rsidRDefault="008C44F9">
          <w:pPr>
            <w:pStyle w:val="TOC1"/>
            <w:tabs>
              <w:tab w:val="right" w:leader="dot" w:pos="9062"/>
            </w:tabs>
            <w:rPr>
              <w:rFonts w:eastAsiaTheme="minorEastAsia"/>
              <w:noProof/>
              <w:lang w:eastAsia="et-EE"/>
            </w:rPr>
          </w:pPr>
          <w:hyperlink w:anchor="_Toc62149247" w:history="1">
            <w:r w:rsidR="001B572A" w:rsidRPr="001B572A">
              <w:rPr>
                <w:rStyle w:val="Hyperlink"/>
                <w:noProof/>
                <w:lang w:val="en-GB"/>
              </w:rPr>
              <w:t>4. Cost estimates</w:t>
            </w:r>
            <w:r w:rsidR="001B572A" w:rsidRPr="001B572A">
              <w:rPr>
                <w:noProof/>
                <w:webHidden/>
              </w:rPr>
              <w:tab/>
            </w:r>
            <w:r w:rsidR="001B572A" w:rsidRPr="001B572A">
              <w:rPr>
                <w:noProof/>
                <w:webHidden/>
              </w:rPr>
              <w:fldChar w:fldCharType="begin"/>
            </w:r>
            <w:r w:rsidR="001B572A" w:rsidRPr="001B572A">
              <w:rPr>
                <w:noProof/>
                <w:webHidden/>
              </w:rPr>
              <w:instrText xml:space="preserve"> PAGEREF _Toc62149247 \h </w:instrText>
            </w:r>
            <w:r w:rsidR="001B572A" w:rsidRPr="001B572A">
              <w:rPr>
                <w:noProof/>
                <w:webHidden/>
              </w:rPr>
            </w:r>
            <w:r w:rsidR="001B572A" w:rsidRPr="001B572A">
              <w:rPr>
                <w:noProof/>
                <w:webHidden/>
              </w:rPr>
              <w:fldChar w:fldCharType="separate"/>
            </w:r>
            <w:r w:rsidR="001829C7">
              <w:rPr>
                <w:noProof/>
                <w:webHidden/>
              </w:rPr>
              <w:t>9</w:t>
            </w:r>
            <w:r w:rsidR="001B572A" w:rsidRPr="001B572A">
              <w:rPr>
                <w:noProof/>
                <w:webHidden/>
              </w:rPr>
              <w:fldChar w:fldCharType="end"/>
            </w:r>
          </w:hyperlink>
        </w:p>
        <w:p w14:paraId="5A2D9622" w14:textId="4AC2C06A" w:rsidR="001B572A" w:rsidRPr="001B572A" w:rsidRDefault="008C44F9">
          <w:pPr>
            <w:pStyle w:val="TOC2"/>
            <w:tabs>
              <w:tab w:val="right" w:leader="dot" w:pos="9062"/>
            </w:tabs>
            <w:rPr>
              <w:rFonts w:eastAsiaTheme="minorEastAsia"/>
              <w:noProof/>
              <w:lang w:eastAsia="et-EE"/>
            </w:rPr>
          </w:pPr>
          <w:hyperlink w:anchor="_Toc62149248" w:history="1">
            <w:r w:rsidR="001B572A" w:rsidRPr="001B572A">
              <w:rPr>
                <w:rStyle w:val="Hyperlink"/>
                <w:i/>
                <w:iCs/>
                <w:noProof/>
                <w:lang w:val="en-US"/>
              </w:rPr>
              <w:t>4.1 Costing methodology</w:t>
            </w:r>
            <w:r w:rsidR="001B572A" w:rsidRPr="001B572A">
              <w:rPr>
                <w:noProof/>
                <w:webHidden/>
              </w:rPr>
              <w:tab/>
            </w:r>
            <w:r w:rsidR="001B572A" w:rsidRPr="001B572A">
              <w:rPr>
                <w:noProof/>
                <w:webHidden/>
              </w:rPr>
              <w:fldChar w:fldCharType="begin"/>
            </w:r>
            <w:r w:rsidR="001B572A" w:rsidRPr="001B572A">
              <w:rPr>
                <w:noProof/>
                <w:webHidden/>
              </w:rPr>
              <w:instrText xml:space="preserve"> PAGEREF _Toc62149248 \h </w:instrText>
            </w:r>
            <w:r w:rsidR="001B572A" w:rsidRPr="001B572A">
              <w:rPr>
                <w:noProof/>
                <w:webHidden/>
              </w:rPr>
            </w:r>
            <w:r w:rsidR="001B572A" w:rsidRPr="001B572A">
              <w:rPr>
                <w:noProof/>
                <w:webHidden/>
              </w:rPr>
              <w:fldChar w:fldCharType="separate"/>
            </w:r>
            <w:r w:rsidR="001829C7">
              <w:rPr>
                <w:noProof/>
                <w:webHidden/>
              </w:rPr>
              <w:t>9</w:t>
            </w:r>
            <w:r w:rsidR="001B572A" w:rsidRPr="001B572A">
              <w:rPr>
                <w:noProof/>
                <w:webHidden/>
              </w:rPr>
              <w:fldChar w:fldCharType="end"/>
            </w:r>
          </w:hyperlink>
        </w:p>
        <w:p w14:paraId="21E57CB5" w14:textId="09A4B540" w:rsidR="001B572A" w:rsidRPr="001B572A" w:rsidRDefault="008C44F9">
          <w:pPr>
            <w:pStyle w:val="TOC2"/>
            <w:tabs>
              <w:tab w:val="right" w:leader="dot" w:pos="9062"/>
            </w:tabs>
            <w:rPr>
              <w:rFonts w:eastAsiaTheme="minorEastAsia"/>
              <w:noProof/>
              <w:lang w:eastAsia="et-EE"/>
            </w:rPr>
          </w:pPr>
          <w:hyperlink w:anchor="_Toc62149249" w:history="1">
            <w:r w:rsidR="001B572A" w:rsidRPr="001B572A">
              <w:rPr>
                <w:rStyle w:val="Hyperlink"/>
                <w:i/>
                <w:iCs/>
                <w:noProof/>
                <w:lang w:val="en-GB"/>
              </w:rPr>
              <w:t>4.2 Cost data</w:t>
            </w:r>
            <w:r w:rsidR="001B572A" w:rsidRPr="001B572A">
              <w:rPr>
                <w:noProof/>
                <w:webHidden/>
              </w:rPr>
              <w:tab/>
            </w:r>
            <w:r w:rsidR="001B572A" w:rsidRPr="001B572A">
              <w:rPr>
                <w:noProof/>
                <w:webHidden/>
              </w:rPr>
              <w:fldChar w:fldCharType="begin"/>
            </w:r>
            <w:r w:rsidR="001B572A" w:rsidRPr="001B572A">
              <w:rPr>
                <w:noProof/>
                <w:webHidden/>
              </w:rPr>
              <w:instrText xml:space="preserve"> PAGEREF _Toc62149249 \h </w:instrText>
            </w:r>
            <w:r w:rsidR="001B572A" w:rsidRPr="001B572A">
              <w:rPr>
                <w:noProof/>
                <w:webHidden/>
              </w:rPr>
            </w:r>
            <w:r w:rsidR="001B572A" w:rsidRPr="001B572A">
              <w:rPr>
                <w:noProof/>
                <w:webHidden/>
              </w:rPr>
              <w:fldChar w:fldCharType="separate"/>
            </w:r>
            <w:r w:rsidR="001829C7">
              <w:rPr>
                <w:noProof/>
                <w:webHidden/>
              </w:rPr>
              <w:t>9</w:t>
            </w:r>
            <w:r w:rsidR="001B572A" w:rsidRPr="001B572A">
              <w:rPr>
                <w:noProof/>
                <w:webHidden/>
              </w:rPr>
              <w:fldChar w:fldCharType="end"/>
            </w:r>
          </w:hyperlink>
        </w:p>
        <w:p w14:paraId="7BEDE3DF" w14:textId="26270843" w:rsidR="001B572A" w:rsidRPr="001B572A" w:rsidRDefault="008C44F9">
          <w:pPr>
            <w:pStyle w:val="TOC2"/>
            <w:tabs>
              <w:tab w:val="right" w:leader="dot" w:pos="9062"/>
            </w:tabs>
            <w:rPr>
              <w:rFonts w:eastAsiaTheme="minorEastAsia"/>
              <w:noProof/>
              <w:lang w:eastAsia="et-EE"/>
            </w:rPr>
          </w:pPr>
          <w:hyperlink w:anchor="_Toc62149250" w:history="1">
            <w:r w:rsidR="001B572A" w:rsidRPr="001B572A">
              <w:rPr>
                <w:rStyle w:val="Hyperlink"/>
                <w:i/>
                <w:iCs/>
                <w:noProof/>
                <w:lang w:val="en-GB"/>
              </w:rPr>
              <w:t>4.3 Costing model</w:t>
            </w:r>
            <w:r w:rsidR="001B572A" w:rsidRPr="001B572A">
              <w:rPr>
                <w:noProof/>
                <w:webHidden/>
              </w:rPr>
              <w:tab/>
            </w:r>
            <w:r w:rsidR="001B572A" w:rsidRPr="001B572A">
              <w:rPr>
                <w:noProof/>
                <w:webHidden/>
              </w:rPr>
              <w:fldChar w:fldCharType="begin"/>
            </w:r>
            <w:r w:rsidR="001B572A" w:rsidRPr="001B572A">
              <w:rPr>
                <w:noProof/>
                <w:webHidden/>
              </w:rPr>
              <w:instrText xml:space="preserve"> PAGEREF _Toc62149250 \h </w:instrText>
            </w:r>
            <w:r w:rsidR="001B572A" w:rsidRPr="001B572A">
              <w:rPr>
                <w:noProof/>
                <w:webHidden/>
              </w:rPr>
            </w:r>
            <w:r w:rsidR="001B572A" w:rsidRPr="001B572A">
              <w:rPr>
                <w:noProof/>
                <w:webHidden/>
              </w:rPr>
              <w:fldChar w:fldCharType="separate"/>
            </w:r>
            <w:r w:rsidR="001829C7">
              <w:rPr>
                <w:noProof/>
                <w:webHidden/>
              </w:rPr>
              <w:t>10</w:t>
            </w:r>
            <w:r w:rsidR="001B572A" w:rsidRPr="001B572A">
              <w:rPr>
                <w:noProof/>
                <w:webHidden/>
              </w:rPr>
              <w:fldChar w:fldCharType="end"/>
            </w:r>
          </w:hyperlink>
        </w:p>
        <w:p w14:paraId="704BE416" w14:textId="5BAE1D8A" w:rsidR="001B572A" w:rsidRPr="001B572A" w:rsidRDefault="008C44F9">
          <w:pPr>
            <w:pStyle w:val="TOC2"/>
            <w:tabs>
              <w:tab w:val="right" w:leader="dot" w:pos="9062"/>
            </w:tabs>
            <w:rPr>
              <w:rFonts w:eastAsiaTheme="minorEastAsia"/>
              <w:noProof/>
              <w:lang w:eastAsia="et-EE"/>
            </w:rPr>
          </w:pPr>
          <w:hyperlink w:anchor="_Toc62149251" w:history="1">
            <w:r w:rsidR="001B572A" w:rsidRPr="001B572A">
              <w:rPr>
                <w:rStyle w:val="Hyperlink"/>
                <w:rFonts w:eastAsia="Segoe UI"/>
                <w:i/>
                <w:iCs/>
                <w:noProof/>
                <w:lang w:val="en-GB"/>
              </w:rPr>
              <w:t>4.4 Basic capitation</w:t>
            </w:r>
            <w:r w:rsidR="001B572A" w:rsidRPr="001B572A">
              <w:rPr>
                <w:noProof/>
                <w:webHidden/>
              </w:rPr>
              <w:tab/>
            </w:r>
            <w:r w:rsidR="001B572A" w:rsidRPr="001B572A">
              <w:rPr>
                <w:noProof/>
                <w:webHidden/>
              </w:rPr>
              <w:fldChar w:fldCharType="begin"/>
            </w:r>
            <w:r w:rsidR="001B572A" w:rsidRPr="001B572A">
              <w:rPr>
                <w:noProof/>
                <w:webHidden/>
              </w:rPr>
              <w:instrText xml:space="preserve"> PAGEREF _Toc62149251 \h </w:instrText>
            </w:r>
            <w:r w:rsidR="001B572A" w:rsidRPr="001B572A">
              <w:rPr>
                <w:noProof/>
                <w:webHidden/>
              </w:rPr>
            </w:r>
            <w:r w:rsidR="001B572A" w:rsidRPr="001B572A">
              <w:rPr>
                <w:noProof/>
                <w:webHidden/>
              </w:rPr>
              <w:fldChar w:fldCharType="separate"/>
            </w:r>
            <w:r w:rsidR="001829C7">
              <w:rPr>
                <w:noProof/>
                <w:webHidden/>
              </w:rPr>
              <w:t>12</w:t>
            </w:r>
            <w:r w:rsidR="001B572A" w:rsidRPr="001B572A">
              <w:rPr>
                <w:noProof/>
                <w:webHidden/>
              </w:rPr>
              <w:fldChar w:fldCharType="end"/>
            </w:r>
          </w:hyperlink>
        </w:p>
        <w:p w14:paraId="2A7A066C" w14:textId="40782D28" w:rsidR="001B572A" w:rsidRPr="001B572A" w:rsidRDefault="008C44F9">
          <w:pPr>
            <w:pStyle w:val="TOC2"/>
            <w:tabs>
              <w:tab w:val="right" w:leader="dot" w:pos="9062"/>
            </w:tabs>
            <w:rPr>
              <w:rFonts w:eastAsiaTheme="minorEastAsia"/>
              <w:noProof/>
              <w:lang w:eastAsia="et-EE"/>
            </w:rPr>
          </w:pPr>
          <w:hyperlink w:anchor="_Toc62149252" w:history="1">
            <w:r w:rsidR="001B572A" w:rsidRPr="001B572A">
              <w:rPr>
                <w:rStyle w:val="Hyperlink"/>
                <w:i/>
                <w:iCs/>
                <w:noProof/>
                <w:lang w:val="en-GB"/>
              </w:rPr>
              <w:t>4.5 Diagnostic lab tests and services</w:t>
            </w:r>
            <w:r w:rsidR="001B572A" w:rsidRPr="001B572A">
              <w:rPr>
                <w:noProof/>
                <w:webHidden/>
              </w:rPr>
              <w:tab/>
            </w:r>
            <w:r w:rsidR="001B572A" w:rsidRPr="001B572A">
              <w:rPr>
                <w:noProof/>
                <w:webHidden/>
              </w:rPr>
              <w:fldChar w:fldCharType="begin"/>
            </w:r>
            <w:r w:rsidR="001B572A" w:rsidRPr="001B572A">
              <w:rPr>
                <w:noProof/>
                <w:webHidden/>
              </w:rPr>
              <w:instrText xml:space="preserve"> PAGEREF _Toc62149252 \h </w:instrText>
            </w:r>
            <w:r w:rsidR="001B572A" w:rsidRPr="001B572A">
              <w:rPr>
                <w:noProof/>
                <w:webHidden/>
              </w:rPr>
            </w:r>
            <w:r w:rsidR="001B572A" w:rsidRPr="001B572A">
              <w:rPr>
                <w:noProof/>
                <w:webHidden/>
              </w:rPr>
              <w:fldChar w:fldCharType="separate"/>
            </w:r>
            <w:r w:rsidR="001829C7">
              <w:rPr>
                <w:noProof/>
                <w:webHidden/>
              </w:rPr>
              <w:t>13</w:t>
            </w:r>
            <w:r w:rsidR="001B572A" w:rsidRPr="001B572A">
              <w:rPr>
                <w:noProof/>
                <w:webHidden/>
              </w:rPr>
              <w:fldChar w:fldCharType="end"/>
            </w:r>
          </w:hyperlink>
        </w:p>
        <w:p w14:paraId="26551C67" w14:textId="4118553E" w:rsidR="001B572A" w:rsidRPr="001B572A" w:rsidRDefault="008C44F9">
          <w:pPr>
            <w:pStyle w:val="TOC2"/>
            <w:tabs>
              <w:tab w:val="right" w:leader="dot" w:pos="9062"/>
            </w:tabs>
            <w:rPr>
              <w:rFonts w:eastAsiaTheme="minorEastAsia"/>
              <w:noProof/>
              <w:lang w:eastAsia="et-EE"/>
            </w:rPr>
          </w:pPr>
          <w:hyperlink w:anchor="_Toc62149253" w:history="1">
            <w:r w:rsidR="001B572A" w:rsidRPr="001B572A">
              <w:rPr>
                <w:rStyle w:val="Hyperlink"/>
                <w:i/>
                <w:iCs/>
                <w:noProof/>
                <w:lang w:val="en-GB"/>
              </w:rPr>
              <w:t>4.6 Facilities allowance and capitalization</w:t>
            </w:r>
            <w:r w:rsidR="001B572A" w:rsidRPr="001B572A">
              <w:rPr>
                <w:noProof/>
                <w:webHidden/>
              </w:rPr>
              <w:tab/>
            </w:r>
            <w:r w:rsidR="001B572A" w:rsidRPr="001B572A">
              <w:rPr>
                <w:noProof/>
                <w:webHidden/>
              </w:rPr>
              <w:fldChar w:fldCharType="begin"/>
            </w:r>
            <w:r w:rsidR="001B572A" w:rsidRPr="001B572A">
              <w:rPr>
                <w:noProof/>
                <w:webHidden/>
              </w:rPr>
              <w:instrText xml:space="preserve"> PAGEREF _Toc62149253 \h </w:instrText>
            </w:r>
            <w:r w:rsidR="001B572A" w:rsidRPr="001B572A">
              <w:rPr>
                <w:noProof/>
                <w:webHidden/>
              </w:rPr>
            </w:r>
            <w:r w:rsidR="001B572A" w:rsidRPr="001B572A">
              <w:rPr>
                <w:noProof/>
                <w:webHidden/>
              </w:rPr>
              <w:fldChar w:fldCharType="separate"/>
            </w:r>
            <w:r w:rsidR="001829C7">
              <w:rPr>
                <w:noProof/>
                <w:webHidden/>
              </w:rPr>
              <w:t>14</w:t>
            </w:r>
            <w:r w:rsidR="001B572A" w:rsidRPr="001B572A">
              <w:rPr>
                <w:noProof/>
                <w:webHidden/>
              </w:rPr>
              <w:fldChar w:fldCharType="end"/>
            </w:r>
          </w:hyperlink>
        </w:p>
        <w:p w14:paraId="2A2F539E" w14:textId="233D7FBF" w:rsidR="001B572A" w:rsidRPr="001B572A" w:rsidRDefault="008C44F9">
          <w:pPr>
            <w:pStyle w:val="TOC2"/>
            <w:tabs>
              <w:tab w:val="right" w:leader="dot" w:pos="9062"/>
            </w:tabs>
            <w:rPr>
              <w:rFonts w:eastAsiaTheme="minorEastAsia"/>
              <w:noProof/>
              <w:lang w:eastAsia="et-EE"/>
            </w:rPr>
          </w:pPr>
          <w:hyperlink w:anchor="_Toc62149254" w:history="1">
            <w:r w:rsidR="001B572A" w:rsidRPr="001B572A">
              <w:rPr>
                <w:rStyle w:val="Hyperlink"/>
                <w:i/>
                <w:iCs/>
                <w:noProof/>
                <w:lang w:val="en-GB"/>
              </w:rPr>
              <w:t>4.7 Priority services</w:t>
            </w:r>
            <w:r w:rsidR="001B572A" w:rsidRPr="001B572A">
              <w:rPr>
                <w:noProof/>
                <w:webHidden/>
              </w:rPr>
              <w:tab/>
            </w:r>
            <w:r w:rsidR="001B572A" w:rsidRPr="001B572A">
              <w:rPr>
                <w:noProof/>
                <w:webHidden/>
              </w:rPr>
              <w:fldChar w:fldCharType="begin"/>
            </w:r>
            <w:r w:rsidR="001B572A" w:rsidRPr="001B572A">
              <w:rPr>
                <w:noProof/>
                <w:webHidden/>
              </w:rPr>
              <w:instrText xml:space="preserve"> PAGEREF _Toc62149254 \h </w:instrText>
            </w:r>
            <w:r w:rsidR="001B572A" w:rsidRPr="001B572A">
              <w:rPr>
                <w:noProof/>
                <w:webHidden/>
              </w:rPr>
            </w:r>
            <w:r w:rsidR="001B572A" w:rsidRPr="001B572A">
              <w:rPr>
                <w:noProof/>
                <w:webHidden/>
              </w:rPr>
              <w:fldChar w:fldCharType="separate"/>
            </w:r>
            <w:r w:rsidR="001829C7">
              <w:rPr>
                <w:noProof/>
                <w:webHidden/>
              </w:rPr>
              <w:t>16</w:t>
            </w:r>
            <w:r w:rsidR="001B572A" w:rsidRPr="001B572A">
              <w:rPr>
                <w:noProof/>
                <w:webHidden/>
              </w:rPr>
              <w:fldChar w:fldCharType="end"/>
            </w:r>
          </w:hyperlink>
        </w:p>
        <w:p w14:paraId="74A790B6" w14:textId="1C28DEA6" w:rsidR="001B572A" w:rsidRPr="001B572A" w:rsidRDefault="008C44F9">
          <w:pPr>
            <w:pStyle w:val="TOC3"/>
            <w:tabs>
              <w:tab w:val="right" w:leader="dot" w:pos="9062"/>
            </w:tabs>
            <w:rPr>
              <w:rFonts w:eastAsiaTheme="minorEastAsia"/>
              <w:noProof/>
              <w:lang w:eastAsia="et-EE"/>
            </w:rPr>
          </w:pPr>
          <w:hyperlink w:anchor="_Toc62149255" w:history="1">
            <w:r w:rsidR="001B572A" w:rsidRPr="001B572A">
              <w:rPr>
                <w:rStyle w:val="Hyperlink"/>
                <w:i/>
                <w:iCs/>
                <w:noProof/>
                <w:lang w:val="en-GB"/>
              </w:rPr>
              <w:t>4.7.1 NCD package</w:t>
            </w:r>
            <w:r w:rsidR="001B572A" w:rsidRPr="001B572A">
              <w:rPr>
                <w:noProof/>
                <w:webHidden/>
              </w:rPr>
              <w:tab/>
            </w:r>
            <w:r w:rsidR="001B572A" w:rsidRPr="001B572A">
              <w:rPr>
                <w:noProof/>
                <w:webHidden/>
              </w:rPr>
              <w:fldChar w:fldCharType="begin"/>
            </w:r>
            <w:r w:rsidR="001B572A" w:rsidRPr="001B572A">
              <w:rPr>
                <w:noProof/>
                <w:webHidden/>
              </w:rPr>
              <w:instrText xml:space="preserve"> PAGEREF _Toc62149255 \h </w:instrText>
            </w:r>
            <w:r w:rsidR="001B572A" w:rsidRPr="001B572A">
              <w:rPr>
                <w:noProof/>
                <w:webHidden/>
              </w:rPr>
            </w:r>
            <w:r w:rsidR="001B572A" w:rsidRPr="001B572A">
              <w:rPr>
                <w:noProof/>
                <w:webHidden/>
              </w:rPr>
              <w:fldChar w:fldCharType="separate"/>
            </w:r>
            <w:r w:rsidR="001829C7">
              <w:rPr>
                <w:noProof/>
                <w:webHidden/>
              </w:rPr>
              <w:t>16</w:t>
            </w:r>
            <w:r w:rsidR="001B572A" w:rsidRPr="001B572A">
              <w:rPr>
                <w:noProof/>
                <w:webHidden/>
              </w:rPr>
              <w:fldChar w:fldCharType="end"/>
            </w:r>
          </w:hyperlink>
        </w:p>
        <w:p w14:paraId="5B679EC9" w14:textId="2289F700" w:rsidR="001B572A" w:rsidRPr="001B572A" w:rsidRDefault="008C44F9">
          <w:pPr>
            <w:pStyle w:val="TOC3"/>
            <w:tabs>
              <w:tab w:val="right" w:leader="dot" w:pos="9062"/>
            </w:tabs>
            <w:rPr>
              <w:rFonts w:eastAsiaTheme="minorEastAsia"/>
              <w:noProof/>
              <w:lang w:eastAsia="et-EE"/>
            </w:rPr>
          </w:pPr>
          <w:hyperlink w:anchor="_Toc62149256" w:history="1">
            <w:r w:rsidR="001B572A" w:rsidRPr="001B572A">
              <w:rPr>
                <w:rStyle w:val="Hyperlink"/>
                <w:i/>
                <w:iCs/>
                <w:noProof/>
                <w:lang w:val="en-GB"/>
              </w:rPr>
              <w:t>4.7.2 ECD services</w:t>
            </w:r>
            <w:r w:rsidR="001B572A" w:rsidRPr="001B572A">
              <w:rPr>
                <w:noProof/>
                <w:webHidden/>
              </w:rPr>
              <w:tab/>
            </w:r>
            <w:r w:rsidR="001B572A" w:rsidRPr="001B572A">
              <w:rPr>
                <w:noProof/>
                <w:webHidden/>
              </w:rPr>
              <w:fldChar w:fldCharType="begin"/>
            </w:r>
            <w:r w:rsidR="001B572A" w:rsidRPr="001B572A">
              <w:rPr>
                <w:noProof/>
                <w:webHidden/>
              </w:rPr>
              <w:instrText xml:space="preserve"> PAGEREF _Toc62149256 \h </w:instrText>
            </w:r>
            <w:r w:rsidR="001B572A" w:rsidRPr="001B572A">
              <w:rPr>
                <w:noProof/>
                <w:webHidden/>
              </w:rPr>
            </w:r>
            <w:r w:rsidR="001B572A" w:rsidRPr="001B572A">
              <w:rPr>
                <w:noProof/>
                <w:webHidden/>
              </w:rPr>
              <w:fldChar w:fldCharType="separate"/>
            </w:r>
            <w:r w:rsidR="001829C7">
              <w:rPr>
                <w:noProof/>
                <w:webHidden/>
              </w:rPr>
              <w:t>16</w:t>
            </w:r>
            <w:r w:rsidR="001B572A" w:rsidRPr="001B572A">
              <w:rPr>
                <w:noProof/>
                <w:webHidden/>
              </w:rPr>
              <w:fldChar w:fldCharType="end"/>
            </w:r>
          </w:hyperlink>
        </w:p>
        <w:p w14:paraId="31436AD9" w14:textId="1CB165FA" w:rsidR="001B572A" w:rsidRPr="001B572A" w:rsidRDefault="008C44F9">
          <w:pPr>
            <w:pStyle w:val="TOC1"/>
            <w:tabs>
              <w:tab w:val="right" w:leader="dot" w:pos="9062"/>
            </w:tabs>
            <w:rPr>
              <w:rFonts w:eastAsiaTheme="minorEastAsia"/>
              <w:noProof/>
              <w:lang w:eastAsia="et-EE"/>
            </w:rPr>
          </w:pPr>
          <w:hyperlink w:anchor="_Toc62149257" w:history="1">
            <w:r w:rsidR="001B572A" w:rsidRPr="001B572A">
              <w:rPr>
                <w:rStyle w:val="Hyperlink"/>
                <w:noProof/>
                <w:lang w:val="en-GB"/>
              </w:rPr>
              <w:t>5. Payment methods design for baseline scenario</w:t>
            </w:r>
            <w:r w:rsidR="001B572A" w:rsidRPr="001B572A">
              <w:rPr>
                <w:noProof/>
                <w:webHidden/>
              </w:rPr>
              <w:tab/>
            </w:r>
            <w:r w:rsidR="001B572A" w:rsidRPr="001B572A">
              <w:rPr>
                <w:noProof/>
                <w:webHidden/>
              </w:rPr>
              <w:fldChar w:fldCharType="begin"/>
            </w:r>
            <w:r w:rsidR="001B572A" w:rsidRPr="001B572A">
              <w:rPr>
                <w:noProof/>
                <w:webHidden/>
              </w:rPr>
              <w:instrText xml:space="preserve"> PAGEREF _Toc62149257 \h </w:instrText>
            </w:r>
            <w:r w:rsidR="001B572A" w:rsidRPr="001B572A">
              <w:rPr>
                <w:noProof/>
                <w:webHidden/>
              </w:rPr>
            </w:r>
            <w:r w:rsidR="001B572A" w:rsidRPr="001B572A">
              <w:rPr>
                <w:noProof/>
                <w:webHidden/>
              </w:rPr>
              <w:fldChar w:fldCharType="separate"/>
            </w:r>
            <w:r w:rsidR="001829C7">
              <w:rPr>
                <w:noProof/>
                <w:webHidden/>
              </w:rPr>
              <w:t>17</w:t>
            </w:r>
            <w:r w:rsidR="001B572A" w:rsidRPr="001B572A">
              <w:rPr>
                <w:noProof/>
                <w:webHidden/>
              </w:rPr>
              <w:fldChar w:fldCharType="end"/>
            </w:r>
          </w:hyperlink>
        </w:p>
        <w:p w14:paraId="0266DAE8" w14:textId="1935B113" w:rsidR="001B572A" w:rsidRPr="001B572A" w:rsidRDefault="008C44F9">
          <w:pPr>
            <w:pStyle w:val="TOC1"/>
            <w:tabs>
              <w:tab w:val="right" w:leader="dot" w:pos="9062"/>
            </w:tabs>
            <w:rPr>
              <w:rFonts w:eastAsiaTheme="minorEastAsia"/>
              <w:noProof/>
              <w:lang w:eastAsia="et-EE"/>
            </w:rPr>
          </w:pPr>
          <w:hyperlink w:anchor="_Toc62149258" w:history="1">
            <w:r w:rsidR="001B572A" w:rsidRPr="001B572A">
              <w:rPr>
                <w:rStyle w:val="Hyperlink"/>
                <w:noProof/>
                <w:lang w:val="en-GB"/>
              </w:rPr>
              <w:t>Annex 1</w:t>
            </w:r>
            <w:r w:rsidR="001B572A" w:rsidRPr="001B572A">
              <w:rPr>
                <w:noProof/>
                <w:webHidden/>
              </w:rPr>
              <w:tab/>
            </w:r>
            <w:r w:rsidR="001B572A" w:rsidRPr="001B572A">
              <w:rPr>
                <w:noProof/>
                <w:webHidden/>
              </w:rPr>
              <w:fldChar w:fldCharType="begin"/>
            </w:r>
            <w:r w:rsidR="001B572A" w:rsidRPr="001B572A">
              <w:rPr>
                <w:noProof/>
                <w:webHidden/>
              </w:rPr>
              <w:instrText xml:space="preserve"> PAGEREF _Toc62149258 \h </w:instrText>
            </w:r>
            <w:r w:rsidR="001B572A" w:rsidRPr="001B572A">
              <w:rPr>
                <w:noProof/>
                <w:webHidden/>
              </w:rPr>
            </w:r>
            <w:r w:rsidR="001B572A" w:rsidRPr="001B572A">
              <w:rPr>
                <w:noProof/>
                <w:webHidden/>
              </w:rPr>
              <w:fldChar w:fldCharType="separate"/>
            </w:r>
            <w:r w:rsidR="001829C7">
              <w:rPr>
                <w:noProof/>
                <w:webHidden/>
              </w:rPr>
              <w:t>21</w:t>
            </w:r>
            <w:r w:rsidR="001B572A" w:rsidRPr="001B572A">
              <w:rPr>
                <w:noProof/>
                <w:webHidden/>
              </w:rPr>
              <w:fldChar w:fldCharType="end"/>
            </w:r>
          </w:hyperlink>
        </w:p>
        <w:p w14:paraId="10E32DF5" w14:textId="3EE8A21D" w:rsidR="000455A7" w:rsidRPr="00681EA9" w:rsidRDefault="000455A7" w:rsidP="002E590D">
          <w:pPr>
            <w:spacing w:after="0" w:line="240" w:lineRule="auto"/>
            <w:rPr>
              <w:lang w:val="en-GB"/>
            </w:rPr>
          </w:pPr>
          <w:r w:rsidRPr="001B572A">
            <w:rPr>
              <w:lang w:val="en-GB"/>
            </w:rPr>
            <w:fldChar w:fldCharType="end"/>
          </w:r>
          <w:r w:rsidRPr="00681EA9">
            <w:rPr>
              <w:lang w:val="en-GB"/>
            </w:rPr>
            <w:t xml:space="preserve">Annex 2. Excel spreadsheet PHC payment model </w:t>
          </w:r>
          <w:r w:rsidR="00D474BD" w:rsidRPr="00681EA9">
            <w:rPr>
              <w:lang w:val="en-GB"/>
            </w:rPr>
            <w:t xml:space="preserve">WHO </w:t>
          </w:r>
          <w:r w:rsidRPr="00681EA9">
            <w:rPr>
              <w:lang w:val="en-GB"/>
            </w:rPr>
            <w:t>Georgia</w:t>
          </w:r>
        </w:p>
        <w:p w14:paraId="265C9BD0" w14:textId="77777777" w:rsidR="00681EA9" w:rsidRDefault="00681EA9" w:rsidP="002E590D">
          <w:pPr>
            <w:spacing w:after="0" w:line="240" w:lineRule="auto"/>
            <w:rPr>
              <w:lang w:val="en-GB"/>
            </w:rPr>
          </w:pPr>
        </w:p>
        <w:p w14:paraId="03D1CBBF" w14:textId="5C39897E" w:rsidR="000455A7" w:rsidRPr="005053C3" w:rsidRDefault="008C44F9" w:rsidP="002E590D">
          <w:pPr>
            <w:spacing w:after="0" w:line="240" w:lineRule="auto"/>
            <w:rPr>
              <w:lang w:val="en-GB"/>
            </w:rPr>
          </w:pPr>
        </w:p>
      </w:sdtContent>
    </w:sdt>
    <w:p w14:paraId="07589FA6" w14:textId="6DF1605E" w:rsidR="00681EA9" w:rsidRDefault="00681EA9">
      <w:pPr>
        <w:rPr>
          <w:rFonts w:ascii="Times New Roman" w:eastAsia="Times New Roman" w:hAnsi="Times New Roman" w:cs="Times New Roman"/>
          <w:color w:val="000000" w:themeColor="text1"/>
          <w:sz w:val="24"/>
          <w:szCs w:val="24"/>
          <w:lang w:val="en-GB"/>
        </w:rPr>
      </w:pPr>
      <w:bookmarkStart w:id="2" w:name="_Toc14682660"/>
      <w:r>
        <w:rPr>
          <w:lang w:val="en-GB"/>
        </w:rPr>
        <w:br w:type="page"/>
      </w:r>
    </w:p>
    <w:p w14:paraId="5D9FDD26" w14:textId="263F22FE" w:rsidR="0042088E" w:rsidRDefault="005F4DFB" w:rsidP="002E590D">
      <w:pPr>
        <w:pStyle w:val="Heading1"/>
        <w:spacing w:before="0" w:line="240" w:lineRule="auto"/>
        <w:rPr>
          <w:b/>
          <w:bCs/>
          <w:color w:val="auto"/>
          <w:lang w:val="en-GB"/>
        </w:rPr>
      </w:pPr>
      <w:bookmarkStart w:id="3" w:name="_Toc62149244"/>
      <w:r w:rsidRPr="000E4394">
        <w:rPr>
          <w:b/>
          <w:bCs/>
          <w:color w:val="auto"/>
          <w:lang w:val="en-GB"/>
        </w:rPr>
        <w:lastRenderedPageBreak/>
        <w:t xml:space="preserve">1. </w:t>
      </w:r>
      <w:r w:rsidR="49746B0C" w:rsidRPr="000E4394">
        <w:rPr>
          <w:b/>
          <w:bCs/>
          <w:color w:val="auto"/>
          <w:lang w:val="en-GB"/>
        </w:rPr>
        <w:t>Objective of the document</w:t>
      </w:r>
      <w:bookmarkEnd w:id="3"/>
    </w:p>
    <w:p w14:paraId="2BD7F752" w14:textId="77777777" w:rsidR="00681EA9" w:rsidRDefault="00681EA9" w:rsidP="002E590D">
      <w:pPr>
        <w:spacing w:after="0" w:line="240" w:lineRule="auto"/>
        <w:jc w:val="both"/>
        <w:rPr>
          <w:lang w:val="en-GB"/>
        </w:rPr>
      </w:pPr>
    </w:p>
    <w:p w14:paraId="58F3EE91" w14:textId="298D468A" w:rsidR="0042088E" w:rsidRPr="000E4394" w:rsidRDefault="49746B0C" w:rsidP="002E590D">
      <w:pPr>
        <w:spacing w:after="0" w:line="240" w:lineRule="auto"/>
        <w:jc w:val="both"/>
        <w:rPr>
          <w:lang w:val="en-GB"/>
        </w:rPr>
      </w:pPr>
      <w:r w:rsidRPr="000E4394">
        <w:rPr>
          <w:lang w:val="en-GB"/>
        </w:rPr>
        <w:t>This document outlines the methodology used for costing services under the revised primary health care (PHC) benefits package and proposes a revised payment model.</w:t>
      </w:r>
    </w:p>
    <w:p w14:paraId="07128E0F" w14:textId="78007C20" w:rsidR="003E653F" w:rsidRPr="000E4394" w:rsidRDefault="003E653F" w:rsidP="002E590D">
      <w:pPr>
        <w:spacing w:after="0" w:line="240" w:lineRule="auto"/>
        <w:jc w:val="both"/>
        <w:rPr>
          <w:lang w:val="en-GB"/>
        </w:rPr>
      </w:pPr>
      <w:r w:rsidRPr="000E4394">
        <w:rPr>
          <w:lang w:val="en-GB"/>
        </w:rPr>
        <w:t xml:space="preserve">The document is based on a technical report from 2020 September refining the developed costing model and payment methods </w:t>
      </w:r>
      <w:r w:rsidR="00F81694" w:rsidRPr="000E4394">
        <w:rPr>
          <w:lang w:val="en-GB"/>
        </w:rPr>
        <w:t>considering</w:t>
      </w:r>
      <w:r w:rsidRPr="000E4394">
        <w:rPr>
          <w:lang w:val="en-GB"/>
        </w:rPr>
        <w:t xml:space="preserve"> different PHC organizational models (solo and group practices), geographical locations (urban and rural practices) and population health needs.</w:t>
      </w:r>
    </w:p>
    <w:p w14:paraId="45A6CA0A" w14:textId="77777777" w:rsidR="000E4394" w:rsidRPr="000E4394" w:rsidRDefault="000E4394" w:rsidP="002E590D">
      <w:pPr>
        <w:spacing w:after="0" w:line="240" w:lineRule="auto"/>
        <w:jc w:val="both"/>
        <w:rPr>
          <w:lang w:val="en-GB"/>
        </w:rPr>
      </w:pPr>
    </w:p>
    <w:p w14:paraId="4C5EB886" w14:textId="0B43685A" w:rsidR="00D50BCB" w:rsidRPr="000E4394" w:rsidRDefault="005F4DFB" w:rsidP="002E590D">
      <w:pPr>
        <w:pStyle w:val="Heading1"/>
        <w:spacing w:before="0" w:line="240" w:lineRule="auto"/>
        <w:rPr>
          <w:b/>
          <w:bCs/>
          <w:color w:val="auto"/>
          <w:lang w:val="en-GB"/>
        </w:rPr>
      </w:pPr>
      <w:bookmarkStart w:id="4" w:name="_Toc62149245"/>
      <w:bookmarkEnd w:id="2"/>
      <w:r w:rsidRPr="000E4394">
        <w:rPr>
          <w:b/>
          <w:bCs/>
          <w:color w:val="auto"/>
          <w:lang w:val="en-GB"/>
        </w:rPr>
        <w:t xml:space="preserve">2. </w:t>
      </w:r>
      <w:r w:rsidR="00152E70" w:rsidRPr="000E4394">
        <w:rPr>
          <w:b/>
          <w:bCs/>
          <w:color w:val="auto"/>
          <w:lang w:val="en-GB"/>
        </w:rPr>
        <w:t>P</w:t>
      </w:r>
      <w:r w:rsidR="00D50BCB" w:rsidRPr="000E4394">
        <w:rPr>
          <w:b/>
          <w:bCs/>
          <w:color w:val="auto"/>
          <w:lang w:val="en-GB"/>
        </w:rPr>
        <w:t>rovider information</w:t>
      </w:r>
      <w:bookmarkEnd w:id="4"/>
    </w:p>
    <w:p w14:paraId="0C56A108" w14:textId="77777777" w:rsidR="000E4394" w:rsidRPr="000E4394" w:rsidRDefault="000E4394" w:rsidP="002E590D">
      <w:pPr>
        <w:spacing w:after="0" w:line="240" w:lineRule="auto"/>
        <w:jc w:val="both"/>
        <w:rPr>
          <w:lang w:val="en-GB"/>
        </w:rPr>
      </w:pPr>
    </w:p>
    <w:p w14:paraId="79E163FA" w14:textId="7F11E2F2" w:rsidR="00344265" w:rsidRDefault="00F834C3" w:rsidP="002E590D">
      <w:pPr>
        <w:spacing w:after="0" w:line="240" w:lineRule="auto"/>
        <w:jc w:val="both"/>
        <w:rPr>
          <w:rFonts w:eastAsiaTheme="minorEastAsia"/>
          <w:lang w:val="en-GB"/>
        </w:rPr>
      </w:pPr>
      <w:r w:rsidRPr="000E4394">
        <w:rPr>
          <w:lang w:val="en-GB"/>
        </w:rPr>
        <w:t xml:space="preserve">A detailed provider analysis was conducted </w:t>
      </w:r>
      <w:r w:rsidR="00F40C73" w:rsidRPr="000E4394">
        <w:rPr>
          <w:lang w:val="en-GB"/>
        </w:rPr>
        <w:t xml:space="preserve">to </w:t>
      </w:r>
      <w:r w:rsidR="00E62CF6" w:rsidRPr="000E4394">
        <w:rPr>
          <w:lang w:val="en-GB"/>
        </w:rPr>
        <w:t>compile</w:t>
      </w:r>
      <w:r w:rsidR="00F40C73" w:rsidRPr="000E4394">
        <w:rPr>
          <w:lang w:val="en-GB"/>
        </w:rPr>
        <w:t xml:space="preserve"> </w:t>
      </w:r>
      <w:r w:rsidR="00F40C73">
        <w:rPr>
          <w:lang w:val="en-GB"/>
        </w:rPr>
        <w:t>a renewed costing and payment model</w:t>
      </w:r>
      <w:r w:rsidR="00344265">
        <w:rPr>
          <w:lang w:val="en-GB"/>
        </w:rPr>
        <w:t xml:space="preserve"> for PHC services. The main aim was to define</w:t>
      </w:r>
      <w:r w:rsidR="00344265" w:rsidRPr="005053C3">
        <w:rPr>
          <w:rFonts w:eastAsiaTheme="minorEastAsia"/>
          <w:lang w:val="en-GB"/>
        </w:rPr>
        <w:t xml:space="preserve"> the variation</w:t>
      </w:r>
      <w:r w:rsidR="00507347">
        <w:rPr>
          <w:rFonts w:eastAsiaTheme="minorEastAsia"/>
          <w:lang w:val="en-GB"/>
        </w:rPr>
        <w:t xml:space="preserve">s in </w:t>
      </w:r>
      <w:r w:rsidR="00344265" w:rsidRPr="005053C3">
        <w:rPr>
          <w:rFonts w:eastAsiaTheme="minorEastAsia"/>
          <w:lang w:val="en-GB"/>
        </w:rPr>
        <w:t xml:space="preserve">service provision </w:t>
      </w:r>
      <w:r w:rsidR="006009A0">
        <w:rPr>
          <w:rFonts w:eastAsiaTheme="minorEastAsia"/>
          <w:lang w:val="en-GB"/>
        </w:rPr>
        <w:t>defining</w:t>
      </w:r>
      <w:r w:rsidR="00BE501C">
        <w:rPr>
          <w:rFonts w:eastAsiaTheme="minorEastAsia"/>
          <w:lang w:val="en-GB"/>
        </w:rPr>
        <w:t xml:space="preserve"> the </w:t>
      </w:r>
      <w:r w:rsidR="00344265" w:rsidRPr="005053C3">
        <w:rPr>
          <w:rFonts w:eastAsiaTheme="minorEastAsia"/>
          <w:lang w:val="en-GB"/>
        </w:rPr>
        <w:t xml:space="preserve">need </w:t>
      </w:r>
      <w:r w:rsidR="00BE501C">
        <w:rPr>
          <w:rFonts w:eastAsiaTheme="minorEastAsia"/>
          <w:lang w:val="en-GB"/>
        </w:rPr>
        <w:t>for a</w:t>
      </w:r>
      <w:r w:rsidR="00344265" w:rsidRPr="005053C3">
        <w:rPr>
          <w:rFonts w:eastAsiaTheme="minorEastAsia"/>
          <w:lang w:val="en-GB"/>
        </w:rPr>
        <w:t xml:space="preserve"> unif</w:t>
      </w:r>
      <w:r w:rsidR="00BE501C">
        <w:rPr>
          <w:rFonts w:eastAsiaTheme="minorEastAsia"/>
          <w:lang w:val="en-GB"/>
        </w:rPr>
        <w:t>ied</w:t>
      </w:r>
      <w:r w:rsidR="00344265" w:rsidRPr="005053C3">
        <w:rPr>
          <w:rFonts w:eastAsiaTheme="minorEastAsia"/>
          <w:lang w:val="en-GB"/>
        </w:rPr>
        <w:t xml:space="preserve"> </w:t>
      </w:r>
      <w:r w:rsidR="00344265">
        <w:rPr>
          <w:rFonts w:eastAsiaTheme="minorEastAsia"/>
          <w:lang w:val="en-GB"/>
        </w:rPr>
        <w:t>PHC</w:t>
      </w:r>
      <w:r w:rsidR="00344265" w:rsidRPr="005053C3">
        <w:rPr>
          <w:rFonts w:eastAsiaTheme="minorEastAsia"/>
          <w:lang w:val="en-GB"/>
        </w:rPr>
        <w:t xml:space="preserve"> </w:t>
      </w:r>
      <w:r w:rsidR="00F311A7">
        <w:rPr>
          <w:rFonts w:eastAsiaTheme="minorEastAsia"/>
          <w:lang w:val="en-GB"/>
        </w:rPr>
        <w:t xml:space="preserve">scope of care </w:t>
      </w:r>
      <w:r w:rsidR="00344265" w:rsidRPr="005053C3">
        <w:rPr>
          <w:rFonts w:eastAsiaTheme="minorEastAsia"/>
          <w:lang w:val="en-GB"/>
        </w:rPr>
        <w:t xml:space="preserve">to provide equal access to </w:t>
      </w:r>
      <w:r w:rsidR="00344265">
        <w:rPr>
          <w:rFonts w:eastAsiaTheme="minorEastAsia"/>
          <w:lang w:val="en-GB"/>
        </w:rPr>
        <w:t>PHC</w:t>
      </w:r>
      <w:r w:rsidR="00344265" w:rsidRPr="005053C3">
        <w:rPr>
          <w:rFonts w:eastAsiaTheme="minorEastAsia"/>
          <w:lang w:val="en-GB"/>
        </w:rPr>
        <w:t xml:space="preserve"> service </w:t>
      </w:r>
      <w:r w:rsidR="00F311A7">
        <w:rPr>
          <w:rFonts w:eastAsiaTheme="minorEastAsia"/>
          <w:lang w:val="en-GB"/>
        </w:rPr>
        <w:t>to en</w:t>
      </w:r>
      <w:r w:rsidR="00B23A58">
        <w:rPr>
          <w:rFonts w:eastAsiaTheme="minorEastAsia"/>
          <w:lang w:val="en-GB"/>
        </w:rPr>
        <w:t>t</w:t>
      </w:r>
      <w:r w:rsidR="00F311A7">
        <w:rPr>
          <w:rFonts w:eastAsiaTheme="minorEastAsia"/>
          <w:lang w:val="en-GB"/>
        </w:rPr>
        <w:t>i</w:t>
      </w:r>
      <w:r w:rsidR="00B23A58">
        <w:rPr>
          <w:rFonts w:eastAsiaTheme="minorEastAsia"/>
          <w:lang w:val="en-GB"/>
        </w:rPr>
        <w:t>re population</w:t>
      </w:r>
      <w:r w:rsidR="00344265" w:rsidRPr="005053C3">
        <w:rPr>
          <w:rFonts w:eastAsiaTheme="minorEastAsia"/>
          <w:lang w:val="en-GB"/>
        </w:rPr>
        <w:t>.</w:t>
      </w:r>
    </w:p>
    <w:p w14:paraId="6C3C6575" w14:textId="77777777" w:rsidR="000E4394" w:rsidRPr="005053C3" w:rsidRDefault="000E4394" w:rsidP="002E590D">
      <w:pPr>
        <w:spacing w:after="0" w:line="240" w:lineRule="auto"/>
        <w:jc w:val="both"/>
        <w:rPr>
          <w:rFonts w:eastAsiaTheme="minorEastAsia"/>
          <w:lang w:val="en-GB"/>
        </w:rPr>
      </w:pPr>
    </w:p>
    <w:p w14:paraId="677E6AE8" w14:textId="22925316" w:rsidR="00866CD7" w:rsidRDefault="008F6FE7" w:rsidP="002E590D">
      <w:pPr>
        <w:spacing w:after="0" w:line="240" w:lineRule="auto"/>
        <w:jc w:val="both"/>
        <w:rPr>
          <w:lang w:val="en-GB"/>
        </w:rPr>
      </w:pPr>
      <w:r>
        <w:rPr>
          <w:lang w:val="en-GB"/>
        </w:rPr>
        <w:t>The provider information summar</w:t>
      </w:r>
      <w:r w:rsidR="00866CD7">
        <w:rPr>
          <w:lang w:val="en-GB"/>
        </w:rPr>
        <w:t xml:space="preserve">y </w:t>
      </w:r>
      <w:r>
        <w:rPr>
          <w:lang w:val="en-GB"/>
        </w:rPr>
        <w:t xml:space="preserve">is based on the data provided by the </w:t>
      </w:r>
      <w:r w:rsidR="00EF1FDC" w:rsidRPr="00EF1FDC">
        <w:rPr>
          <w:lang w:val="en-GB"/>
        </w:rPr>
        <w:t>Ministry of IDPs from the Occupied Territories, Labour, Health and Social Affairs</w:t>
      </w:r>
      <w:r w:rsidR="0020591F">
        <w:rPr>
          <w:lang w:val="en-GB"/>
        </w:rPr>
        <w:t xml:space="preserve"> who collected the data from relevant agencies</w:t>
      </w:r>
      <w:r>
        <w:rPr>
          <w:lang w:val="en-GB"/>
        </w:rPr>
        <w:t xml:space="preserve"> </w:t>
      </w:r>
      <w:r w:rsidR="0020591F">
        <w:rPr>
          <w:lang w:val="en-GB"/>
        </w:rPr>
        <w:t xml:space="preserve">like NCDC and </w:t>
      </w:r>
      <w:r w:rsidR="00866CD7" w:rsidRPr="00866CD7">
        <w:rPr>
          <w:lang w:val="en-GB"/>
        </w:rPr>
        <w:t xml:space="preserve">National Health </w:t>
      </w:r>
      <w:r w:rsidR="009E0635" w:rsidRPr="00866CD7">
        <w:rPr>
          <w:lang w:val="en-GB"/>
        </w:rPr>
        <w:t>Service</w:t>
      </w:r>
      <w:r w:rsidR="00866CD7" w:rsidRPr="00866CD7">
        <w:rPr>
          <w:lang w:val="en-GB"/>
        </w:rPr>
        <w:t xml:space="preserve"> Agency</w:t>
      </w:r>
      <w:r w:rsidR="00866CD7">
        <w:rPr>
          <w:lang w:val="en-GB"/>
        </w:rPr>
        <w:t>.</w:t>
      </w:r>
    </w:p>
    <w:p w14:paraId="628A34DA" w14:textId="77777777" w:rsidR="000E4394" w:rsidRDefault="000E4394" w:rsidP="002E590D">
      <w:pPr>
        <w:spacing w:after="0" w:line="240" w:lineRule="auto"/>
        <w:jc w:val="both"/>
        <w:rPr>
          <w:lang w:val="en-GB"/>
        </w:rPr>
      </w:pPr>
    </w:p>
    <w:p w14:paraId="5CB61276" w14:textId="132CDA65" w:rsidR="00D9062C" w:rsidRDefault="00D50BCB" w:rsidP="002E590D">
      <w:pPr>
        <w:spacing w:after="0" w:line="240" w:lineRule="auto"/>
        <w:jc w:val="both"/>
        <w:rPr>
          <w:lang w:val="en-GB"/>
        </w:rPr>
      </w:pPr>
      <w:r w:rsidRPr="005053C3">
        <w:rPr>
          <w:lang w:val="en-GB"/>
        </w:rPr>
        <w:t xml:space="preserve">In 2019 there were 157 contracted urban providers and 779 rural </w:t>
      </w:r>
      <w:r w:rsidR="00655C86">
        <w:rPr>
          <w:lang w:val="en-GB"/>
        </w:rPr>
        <w:t xml:space="preserve">PHC </w:t>
      </w:r>
      <w:r w:rsidRPr="005053C3">
        <w:rPr>
          <w:lang w:val="en-GB"/>
        </w:rPr>
        <w:t>providers</w:t>
      </w:r>
      <w:r w:rsidR="00271360">
        <w:rPr>
          <w:lang w:val="en-GB"/>
        </w:rPr>
        <w:t xml:space="preserve"> (table 1)</w:t>
      </w:r>
      <w:r w:rsidRPr="005053C3">
        <w:rPr>
          <w:lang w:val="en-GB"/>
        </w:rPr>
        <w:t xml:space="preserve">. In total there are 936 publicly contracted </w:t>
      </w:r>
      <w:r w:rsidR="00C73F6E">
        <w:rPr>
          <w:lang w:val="en-GB"/>
        </w:rPr>
        <w:t>PHC</w:t>
      </w:r>
      <w:r w:rsidRPr="005053C3">
        <w:rPr>
          <w:lang w:val="en-GB"/>
        </w:rPr>
        <w:t xml:space="preserve"> providers. In total the public providers cover a catchment aera of 3,5 million and employ almost 3000 </w:t>
      </w:r>
      <w:r w:rsidR="00C73F6E">
        <w:rPr>
          <w:lang w:val="en-GB"/>
        </w:rPr>
        <w:t>family doctors (</w:t>
      </w:r>
      <w:r w:rsidRPr="005053C3">
        <w:rPr>
          <w:lang w:val="en-GB"/>
        </w:rPr>
        <w:t>FDs</w:t>
      </w:r>
      <w:r w:rsidR="00C73F6E">
        <w:rPr>
          <w:lang w:val="en-GB"/>
        </w:rPr>
        <w:t>)</w:t>
      </w:r>
      <w:r w:rsidRPr="005053C3">
        <w:rPr>
          <w:lang w:val="en-GB"/>
        </w:rPr>
        <w:t xml:space="preserve"> and over 4000 </w:t>
      </w:r>
      <w:r w:rsidR="00C73F6E">
        <w:rPr>
          <w:lang w:val="en-GB"/>
        </w:rPr>
        <w:t>family nurses (FNs)</w:t>
      </w:r>
      <w:r w:rsidRPr="005053C3">
        <w:rPr>
          <w:lang w:val="en-GB"/>
        </w:rPr>
        <w:t>.</w:t>
      </w:r>
      <w:r w:rsidR="00A14C8B">
        <w:rPr>
          <w:lang w:val="en-GB"/>
        </w:rPr>
        <w:t xml:space="preserve"> In addition, there are 3297 members of supporting staff employed by urban providers. Nevertheless, it is not know</w:t>
      </w:r>
      <w:r w:rsidR="00CC2A81">
        <w:rPr>
          <w:lang w:val="en-GB"/>
        </w:rPr>
        <w:t>n</w:t>
      </w:r>
      <w:r w:rsidR="00A14C8B">
        <w:rPr>
          <w:lang w:val="en-GB"/>
        </w:rPr>
        <w:t xml:space="preserve"> </w:t>
      </w:r>
      <w:r w:rsidR="000A111D">
        <w:rPr>
          <w:lang w:val="en-GB"/>
        </w:rPr>
        <w:t xml:space="preserve">what </w:t>
      </w:r>
      <w:r w:rsidR="008C1D41">
        <w:rPr>
          <w:lang w:val="en-GB"/>
        </w:rPr>
        <w:t xml:space="preserve">the training and expertise </w:t>
      </w:r>
      <w:r w:rsidR="00EC22D6">
        <w:rPr>
          <w:lang w:val="en-GB"/>
        </w:rPr>
        <w:t xml:space="preserve">of the supporting staff </w:t>
      </w:r>
      <w:r w:rsidR="008C1D41">
        <w:rPr>
          <w:lang w:val="en-GB"/>
        </w:rPr>
        <w:t>is</w:t>
      </w:r>
      <w:r w:rsidR="000A111D">
        <w:rPr>
          <w:lang w:val="en-GB"/>
        </w:rPr>
        <w:t>.</w:t>
      </w:r>
      <w:r w:rsidR="00EC22D6">
        <w:rPr>
          <w:lang w:val="en-GB"/>
        </w:rPr>
        <w:t xml:space="preserve"> </w:t>
      </w:r>
      <w:r w:rsidR="00D9062C" w:rsidRPr="005053C3">
        <w:rPr>
          <w:lang w:val="en-GB"/>
        </w:rPr>
        <w:t xml:space="preserve">In addition to public providers, there are also 81 private polyclinics employing 321 </w:t>
      </w:r>
      <w:r w:rsidR="00D9062C">
        <w:rPr>
          <w:lang w:val="en-GB"/>
        </w:rPr>
        <w:t>FDs,</w:t>
      </w:r>
      <w:r w:rsidR="00D9062C" w:rsidRPr="005053C3">
        <w:rPr>
          <w:lang w:val="en-GB"/>
        </w:rPr>
        <w:t xml:space="preserve"> 644 </w:t>
      </w:r>
      <w:r w:rsidR="00D9062C">
        <w:rPr>
          <w:lang w:val="en-GB"/>
        </w:rPr>
        <w:t xml:space="preserve">FNs and 1687 supporting staff (covering about 200 thousand </w:t>
      </w:r>
      <w:r w:rsidR="00D9062C" w:rsidRPr="005053C3">
        <w:rPr>
          <w:lang w:val="en-GB"/>
        </w:rPr>
        <w:t>people).</w:t>
      </w:r>
    </w:p>
    <w:p w14:paraId="0DB90DB5" w14:textId="77777777" w:rsidR="00271360" w:rsidRDefault="00271360" w:rsidP="002E590D">
      <w:pPr>
        <w:spacing w:after="0" w:line="240" w:lineRule="auto"/>
        <w:jc w:val="both"/>
        <w:rPr>
          <w:lang w:val="en-GB"/>
        </w:rPr>
      </w:pPr>
    </w:p>
    <w:p w14:paraId="7220E904" w14:textId="2AC02F88" w:rsidR="005F4DFB" w:rsidRPr="00271360" w:rsidRDefault="00271360" w:rsidP="002E590D">
      <w:pPr>
        <w:spacing w:after="0" w:line="240" w:lineRule="auto"/>
        <w:jc w:val="both"/>
        <w:rPr>
          <w:b/>
          <w:bCs/>
          <w:lang w:val="en-GB"/>
        </w:rPr>
      </w:pPr>
      <w:r w:rsidRPr="00271360">
        <w:rPr>
          <w:b/>
          <w:bCs/>
          <w:lang w:val="en-GB"/>
        </w:rPr>
        <w:t xml:space="preserve">Table 1. </w:t>
      </w:r>
      <w:r w:rsidRPr="00F7703A">
        <w:rPr>
          <w:lang w:val="en-GB"/>
        </w:rPr>
        <w:t>Provider structure</w:t>
      </w:r>
    </w:p>
    <w:tbl>
      <w:tblPr>
        <w:tblStyle w:val="GridTable4-Accent5"/>
        <w:tblW w:w="9879" w:type="dxa"/>
        <w:tblLayout w:type="fixed"/>
        <w:tblLook w:val="04A0" w:firstRow="1" w:lastRow="0" w:firstColumn="1" w:lastColumn="0" w:noHBand="0" w:noVBand="1"/>
      </w:tblPr>
      <w:tblGrid>
        <w:gridCol w:w="1218"/>
        <w:gridCol w:w="1223"/>
        <w:gridCol w:w="1494"/>
        <w:gridCol w:w="1494"/>
        <w:gridCol w:w="951"/>
        <w:gridCol w:w="1222"/>
        <w:gridCol w:w="1040"/>
        <w:gridCol w:w="1237"/>
      </w:tblGrid>
      <w:tr w:rsidR="00FC1BD7" w:rsidRPr="002E590D" w14:paraId="1D1433B2" w14:textId="77777777" w:rsidTr="00F7703A">
        <w:trPr>
          <w:cnfStyle w:val="100000000000" w:firstRow="1" w:lastRow="0" w:firstColumn="0" w:lastColumn="0" w:oddVBand="0" w:evenVBand="0" w:oddHBand="0" w:evenHBand="0" w:firstRowFirstColumn="0" w:firstRowLastColumn="0" w:lastRowFirstColumn="0" w:lastRowLastColumn="0"/>
          <w:trHeight w:val="55"/>
          <w:tblHeader/>
        </w:trPr>
        <w:tc>
          <w:tcPr>
            <w:cnfStyle w:val="001000000000" w:firstRow="0" w:lastRow="0" w:firstColumn="1" w:lastColumn="0" w:oddVBand="0" w:evenVBand="0" w:oddHBand="0" w:evenHBand="0" w:firstRowFirstColumn="0" w:firstRowLastColumn="0" w:lastRowFirstColumn="0" w:lastRowLastColumn="0"/>
            <w:tcW w:w="1218" w:type="dxa"/>
            <w:hideMark/>
          </w:tcPr>
          <w:p w14:paraId="5CBE9E3B" w14:textId="77777777" w:rsidR="009F7EE6" w:rsidRPr="005C23E4" w:rsidRDefault="009F7EE6" w:rsidP="002E590D">
            <w:pPr>
              <w:jc w:val="center"/>
              <w:rPr>
                <w:rFonts w:eastAsia="Times New Roman" w:cstheme="minorHAnsi"/>
                <w:b w:val="0"/>
                <w:bCs w:val="0"/>
                <w:color w:val="auto"/>
                <w:sz w:val="20"/>
                <w:szCs w:val="20"/>
                <w:lang w:val="en-GB" w:eastAsia="et-EE"/>
              </w:rPr>
            </w:pPr>
            <w:r w:rsidRPr="002E590D">
              <w:rPr>
                <w:rFonts w:eastAsia="Times New Roman" w:cstheme="minorHAnsi"/>
                <w:color w:val="auto"/>
                <w:sz w:val="20"/>
                <w:szCs w:val="20"/>
                <w:lang w:val="en-GB" w:eastAsia="et-EE"/>
              </w:rPr>
              <w:t> </w:t>
            </w:r>
          </w:p>
        </w:tc>
        <w:tc>
          <w:tcPr>
            <w:tcW w:w="1223" w:type="dxa"/>
            <w:hideMark/>
          </w:tcPr>
          <w:p w14:paraId="17C928E2" w14:textId="77777777" w:rsidR="009F7EE6" w:rsidRPr="005C23E4" w:rsidRDefault="009F7EE6" w:rsidP="002E590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auto"/>
                <w:sz w:val="20"/>
                <w:szCs w:val="20"/>
                <w:lang w:val="en-GB" w:eastAsia="et-EE"/>
              </w:rPr>
            </w:pPr>
            <w:r w:rsidRPr="002E590D">
              <w:rPr>
                <w:rFonts w:eastAsia="Times New Roman" w:cstheme="minorHAnsi"/>
                <w:color w:val="auto"/>
                <w:sz w:val="20"/>
                <w:szCs w:val="20"/>
                <w:lang w:val="en-GB" w:eastAsia="et-EE"/>
              </w:rPr>
              <w:t>Contracted providers</w:t>
            </w:r>
          </w:p>
        </w:tc>
        <w:tc>
          <w:tcPr>
            <w:tcW w:w="1494" w:type="dxa"/>
            <w:hideMark/>
          </w:tcPr>
          <w:p w14:paraId="1B322BB6" w14:textId="77777777" w:rsidR="009F7EE6" w:rsidRPr="005C23E4" w:rsidRDefault="009F7EE6" w:rsidP="002E590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auto"/>
                <w:sz w:val="20"/>
                <w:szCs w:val="20"/>
                <w:lang w:val="en-GB" w:eastAsia="et-EE"/>
              </w:rPr>
            </w:pPr>
            <w:r w:rsidRPr="002E590D">
              <w:rPr>
                <w:rFonts w:eastAsia="Times New Roman" w:cstheme="minorHAnsi"/>
                <w:color w:val="auto"/>
                <w:sz w:val="20"/>
                <w:szCs w:val="20"/>
                <w:lang w:val="en-GB" w:eastAsia="et-EE"/>
              </w:rPr>
              <w:t>Patients in catchment area (number)</w:t>
            </w:r>
          </w:p>
        </w:tc>
        <w:tc>
          <w:tcPr>
            <w:tcW w:w="1494" w:type="dxa"/>
          </w:tcPr>
          <w:p w14:paraId="514B0680" w14:textId="29CF8BCF" w:rsidR="009F7EE6" w:rsidRPr="005C23E4" w:rsidRDefault="009F7EE6" w:rsidP="002E590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auto"/>
                <w:sz w:val="20"/>
                <w:szCs w:val="20"/>
                <w:lang w:val="en-GB" w:eastAsia="et-EE"/>
              </w:rPr>
            </w:pPr>
            <w:r w:rsidRPr="002E590D">
              <w:rPr>
                <w:rFonts w:eastAsia="Times New Roman" w:cstheme="minorHAnsi"/>
                <w:color w:val="auto"/>
                <w:sz w:val="20"/>
                <w:szCs w:val="20"/>
                <w:lang w:val="en-GB" w:eastAsia="et-EE"/>
              </w:rPr>
              <w:t>Urban providers patient list incl rural patients</w:t>
            </w:r>
          </w:p>
        </w:tc>
        <w:tc>
          <w:tcPr>
            <w:tcW w:w="951" w:type="dxa"/>
            <w:hideMark/>
          </w:tcPr>
          <w:p w14:paraId="6EC3B523" w14:textId="0DCB74C3" w:rsidR="009F7EE6" w:rsidRPr="005C23E4" w:rsidRDefault="009F7EE6" w:rsidP="002E590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auto"/>
                <w:sz w:val="20"/>
                <w:szCs w:val="20"/>
                <w:lang w:val="en-GB" w:eastAsia="et-EE"/>
              </w:rPr>
            </w:pPr>
            <w:r w:rsidRPr="002E590D">
              <w:rPr>
                <w:rFonts w:eastAsia="Times New Roman" w:cstheme="minorHAnsi"/>
                <w:color w:val="auto"/>
                <w:sz w:val="20"/>
                <w:szCs w:val="20"/>
                <w:lang w:val="en-GB" w:eastAsia="et-EE"/>
              </w:rPr>
              <w:t>FDs</w:t>
            </w:r>
          </w:p>
        </w:tc>
        <w:tc>
          <w:tcPr>
            <w:tcW w:w="1222" w:type="dxa"/>
            <w:hideMark/>
          </w:tcPr>
          <w:p w14:paraId="6508FF9E" w14:textId="61B6C009" w:rsidR="009F7EE6" w:rsidRPr="005C23E4" w:rsidRDefault="009F7EE6" w:rsidP="002E590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auto"/>
                <w:sz w:val="20"/>
                <w:szCs w:val="20"/>
                <w:lang w:val="en-GB" w:eastAsia="et-EE"/>
              </w:rPr>
            </w:pPr>
            <w:r w:rsidRPr="002E590D">
              <w:rPr>
                <w:rFonts w:eastAsia="Times New Roman" w:cstheme="minorHAnsi"/>
                <w:color w:val="auto"/>
                <w:sz w:val="20"/>
                <w:szCs w:val="20"/>
                <w:lang w:val="en-GB" w:eastAsia="et-EE"/>
              </w:rPr>
              <w:t>FNs</w:t>
            </w:r>
          </w:p>
        </w:tc>
        <w:tc>
          <w:tcPr>
            <w:tcW w:w="1040" w:type="dxa"/>
          </w:tcPr>
          <w:p w14:paraId="1E7D5AA6" w14:textId="0F5CF2A2" w:rsidR="009F7EE6" w:rsidRPr="005C23E4" w:rsidRDefault="009F7EE6" w:rsidP="002E590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GB" w:eastAsia="et-EE"/>
              </w:rPr>
            </w:pPr>
            <w:r w:rsidRPr="002E590D">
              <w:rPr>
                <w:rFonts w:eastAsia="Times New Roman" w:cstheme="minorHAnsi"/>
                <w:color w:val="auto"/>
                <w:sz w:val="20"/>
                <w:szCs w:val="20"/>
                <w:lang w:val="en-GB" w:eastAsia="et-EE"/>
              </w:rPr>
              <w:t>Supporting staff per FD</w:t>
            </w:r>
          </w:p>
        </w:tc>
        <w:tc>
          <w:tcPr>
            <w:tcW w:w="1237" w:type="dxa"/>
            <w:hideMark/>
          </w:tcPr>
          <w:p w14:paraId="25432CA3" w14:textId="32F28FA4" w:rsidR="009F7EE6" w:rsidRPr="005C23E4" w:rsidRDefault="009F7EE6" w:rsidP="002E590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color w:val="auto"/>
                <w:sz w:val="20"/>
                <w:szCs w:val="20"/>
                <w:lang w:val="en-GB" w:eastAsia="et-EE"/>
              </w:rPr>
            </w:pPr>
            <w:r w:rsidRPr="002E590D">
              <w:rPr>
                <w:rFonts w:eastAsia="Times New Roman" w:cstheme="minorHAnsi"/>
                <w:color w:val="auto"/>
                <w:sz w:val="20"/>
                <w:szCs w:val="20"/>
                <w:lang w:val="en-GB" w:eastAsia="et-EE"/>
              </w:rPr>
              <w:t>Average catchment area size per FP</w:t>
            </w:r>
          </w:p>
        </w:tc>
      </w:tr>
      <w:tr w:rsidR="00FC1BD7" w:rsidRPr="002E590D" w14:paraId="26C06631" w14:textId="77777777" w:rsidTr="005F4DFB">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1218" w:type="dxa"/>
            <w:noWrap/>
            <w:hideMark/>
          </w:tcPr>
          <w:p w14:paraId="2B0FFC45" w14:textId="77777777" w:rsidR="009F7EE6" w:rsidRPr="002E590D" w:rsidRDefault="009F7EE6" w:rsidP="002E590D">
            <w:pPr>
              <w:jc w:val="right"/>
              <w:rPr>
                <w:rFonts w:eastAsia="Times New Roman" w:cstheme="minorHAnsi"/>
                <w:b w:val="0"/>
                <w:bCs w:val="0"/>
                <w:sz w:val="20"/>
                <w:szCs w:val="20"/>
                <w:lang w:val="en-GB" w:eastAsia="et-EE"/>
              </w:rPr>
            </w:pPr>
            <w:r w:rsidRPr="002E590D">
              <w:rPr>
                <w:rFonts w:eastAsia="Times New Roman" w:cstheme="minorHAnsi"/>
                <w:sz w:val="20"/>
                <w:szCs w:val="20"/>
                <w:lang w:val="en-GB" w:eastAsia="et-EE"/>
              </w:rPr>
              <w:t>Urban</w:t>
            </w:r>
          </w:p>
        </w:tc>
        <w:tc>
          <w:tcPr>
            <w:tcW w:w="1223" w:type="dxa"/>
            <w:noWrap/>
            <w:hideMark/>
          </w:tcPr>
          <w:p w14:paraId="1F4DBD48" w14:textId="77777777" w:rsidR="009F7EE6" w:rsidRPr="002E590D" w:rsidRDefault="009F7EE6"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GB" w:eastAsia="et-EE"/>
              </w:rPr>
            </w:pPr>
            <w:r w:rsidRPr="002E590D">
              <w:rPr>
                <w:rFonts w:eastAsia="Times New Roman" w:cstheme="minorHAnsi"/>
                <w:sz w:val="20"/>
                <w:szCs w:val="20"/>
                <w:lang w:val="en-GB" w:eastAsia="et-EE"/>
              </w:rPr>
              <w:t>157</w:t>
            </w:r>
          </w:p>
        </w:tc>
        <w:tc>
          <w:tcPr>
            <w:tcW w:w="1494" w:type="dxa"/>
            <w:noWrap/>
            <w:hideMark/>
          </w:tcPr>
          <w:p w14:paraId="0463414F" w14:textId="4B562E17" w:rsidR="009F7EE6" w:rsidRPr="002E590D" w:rsidRDefault="009F7EE6"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GB" w:eastAsia="et-EE"/>
              </w:rPr>
            </w:pPr>
            <w:r w:rsidRPr="002E590D">
              <w:rPr>
                <w:rFonts w:eastAsia="Times New Roman" w:cstheme="minorHAnsi"/>
                <w:sz w:val="20"/>
                <w:szCs w:val="20"/>
                <w:lang w:val="en-GB" w:eastAsia="et-EE"/>
              </w:rPr>
              <w:t>1 891 244</w:t>
            </w:r>
          </w:p>
        </w:tc>
        <w:tc>
          <w:tcPr>
            <w:tcW w:w="1494" w:type="dxa"/>
          </w:tcPr>
          <w:p w14:paraId="187F027E" w14:textId="7566A0A5" w:rsidR="009F7EE6" w:rsidRPr="002E590D" w:rsidRDefault="009F7EE6"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GB" w:eastAsia="et-EE"/>
              </w:rPr>
            </w:pPr>
            <w:r w:rsidRPr="002E590D">
              <w:rPr>
                <w:rFonts w:eastAsia="Times New Roman" w:cstheme="minorHAnsi"/>
                <w:sz w:val="20"/>
                <w:szCs w:val="20"/>
                <w:lang w:val="en-GB" w:eastAsia="et-EE"/>
              </w:rPr>
              <w:t>2 853 558</w:t>
            </w:r>
          </w:p>
        </w:tc>
        <w:tc>
          <w:tcPr>
            <w:tcW w:w="951" w:type="dxa"/>
            <w:noWrap/>
            <w:hideMark/>
          </w:tcPr>
          <w:p w14:paraId="6ECD387B" w14:textId="2019CA9F" w:rsidR="009F7EE6" w:rsidRPr="002E590D" w:rsidRDefault="009F7EE6"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GB" w:eastAsia="et-EE"/>
              </w:rPr>
            </w:pPr>
            <w:r w:rsidRPr="002E590D">
              <w:rPr>
                <w:rFonts w:eastAsia="Times New Roman" w:cstheme="minorHAnsi"/>
                <w:sz w:val="20"/>
                <w:szCs w:val="20"/>
                <w:lang w:val="en-GB" w:eastAsia="et-EE"/>
              </w:rPr>
              <w:t>1 306</w:t>
            </w:r>
          </w:p>
        </w:tc>
        <w:tc>
          <w:tcPr>
            <w:tcW w:w="1222" w:type="dxa"/>
            <w:noWrap/>
            <w:hideMark/>
          </w:tcPr>
          <w:p w14:paraId="51FCBD25" w14:textId="77777777" w:rsidR="009F7EE6" w:rsidRPr="002E590D" w:rsidRDefault="009F7EE6"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GB" w:eastAsia="et-EE"/>
              </w:rPr>
            </w:pPr>
            <w:r w:rsidRPr="002E590D">
              <w:rPr>
                <w:rFonts w:eastAsia="Times New Roman" w:cstheme="minorHAnsi"/>
                <w:sz w:val="20"/>
                <w:szCs w:val="20"/>
                <w:lang w:val="en-GB" w:eastAsia="et-EE"/>
              </w:rPr>
              <w:t>1 827</w:t>
            </w:r>
          </w:p>
        </w:tc>
        <w:tc>
          <w:tcPr>
            <w:tcW w:w="1040" w:type="dxa"/>
          </w:tcPr>
          <w:p w14:paraId="42FA4BA4" w14:textId="5F865854" w:rsidR="009F7EE6" w:rsidRPr="002E590D" w:rsidRDefault="00362AC6"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GB" w:eastAsia="et-EE"/>
              </w:rPr>
            </w:pPr>
            <w:r w:rsidRPr="002E590D">
              <w:rPr>
                <w:rFonts w:eastAsia="Times New Roman" w:cstheme="minorHAnsi"/>
                <w:sz w:val="20"/>
                <w:szCs w:val="20"/>
                <w:lang w:val="en-GB" w:eastAsia="et-EE"/>
              </w:rPr>
              <w:t>3 297</w:t>
            </w:r>
          </w:p>
        </w:tc>
        <w:tc>
          <w:tcPr>
            <w:tcW w:w="1237" w:type="dxa"/>
            <w:noWrap/>
            <w:hideMark/>
          </w:tcPr>
          <w:p w14:paraId="67F11506" w14:textId="4432FDC6" w:rsidR="009F7EE6" w:rsidRPr="002E590D" w:rsidRDefault="009F7EE6"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GB" w:eastAsia="et-EE"/>
              </w:rPr>
            </w:pPr>
            <w:r w:rsidRPr="002E590D">
              <w:rPr>
                <w:rFonts w:eastAsia="Times New Roman" w:cstheme="minorHAnsi"/>
                <w:sz w:val="20"/>
                <w:szCs w:val="20"/>
                <w:lang w:val="en-GB" w:eastAsia="et-EE"/>
              </w:rPr>
              <w:t>2 185*</w:t>
            </w:r>
          </w:p>
        </w:tc>
      </w:tr>
      <w:tr w:rsidR="00FC1BD7" w:rsidRPr="002E590D" w14:paraId="61F5039A" w14:textId="77777777" w:rsidTr="005F4DFB">
        <w:trPr>
          <w:trHeight w:val="164"/>
        </w:trPr>
        <w:tc>
          <w:tcPr>
            <w:cnfStyle w:val="001000000000" w:firstRow="0" w:lastRow="0" w:firstColumn="1" w:lastColumn="0" w:oddVBand="0" w:evenVBand="0" w:oddHBand="0" w:evenHBand="0" w:firstRowFirstColumn="0" w:firstRowLastColumn="0" w:lastRowFirstColumn="0" w:lastRowLastColumn="0"/>
            <w:tcW w:w="1218" w:type="dxa"/>
            <w:noWrap/>
            <w:hideMark/>
          </w:tcPr>
          <w:p w14:paraId="3E1D2591" w14:textId="77777777" w:rsidR="009F7EE6" w:rsidRPr="002E590D" w:rsidRDefault="009F7EE6" w:rsidP="002E590D">
            <w:pPr>
              <w:jc w:val="right"/>
              <w:rPr>
                <w:rFonts w:eastAsia="Times New Roman" w:cstheme="minorHAnsi"/>
                <w:b w:val="0"/>
                <w:bCs w:val="0"/>
                <w:sz w:val="20"/>
                <w:szCs w:val="20"/>
                <w:lang w:val="en-GB" w:eastAsia="et-EE"/>
              </w:rPr>
            </w:pPr>
            <w:r w:rsidRPr="002E590D">
              <w:rPr>
                <w:rFonts w:eastAsia="Times New Roman" w:cstheme="minorHAnsi"/>
                <w:sz w:val="20"/>
                <w:szCs w:val="20"/>
                <w:lang w:val="en-GB" w:eastAsia="et-EE"/>
              </w:rPr>
              <w:t>Rural</w:t>
            </w:r>
          </w:p>
        </w:tc>
        <w:tc>
          <w:tcPr>
            <w:tcW w:w="1223" w:type="dxa"/>
            <w:noWrap/>
            <w:hideMark/>
          </w:tcPr>
          <w:p w14:paraId="7F36F540" w14:textId="77777777" w:rsidR="009F7EE6" w:rsidRPr="002E590D" w:rsidRDefault="009F7EE6" w:rsidP="002E590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GB" w:eastAsia="et-EE"/>
              </w:rPr>
            </w:pPr>
            <w:r w:rsidRPr="002E590D">
              <w:rPr>
                <w:rFonts w:eastAsia="Times New Roman" w:cstheme="minorHAnsi"/>
                <w:sz w:val="20"/>
                <w:szCs w:val="20"/>
                <w:lang w:val="en-GB" w:eastAsia="et-EE"/>
              </w:rPr>
              <w:t>779</w:t>
            </w:r>
          </w:p>
        </w:tc>
        <w:tc>
          <w:tcPr>
            <w:tcW w:w="1494" w:type="dxa"/>
            <w:noWrap/>
            <w:hideMark/>
          </w:tcPr>
          <w:p w14:paraId="7A6BA6AF" w14:textId="77777777" w:rsidR="009F7EE6" w:rsidRPr="002E590D" w:rsidRDefault="009F7EE6" w:rsidP="002E590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GB" w:eastAsia="et-EE"/>
              </w:rPr>
            </w:pPr>
            <w:r w:rsidRPr="002E590D">
              <w:rPr>
                <w:rFonts w:eastAsia="Times New Roman" w:cstheme="minorHAnsi"/>
                <w:sz w:val="20"/>
                <w:szCs w:val="20"/>
                <w:lang w:val="en-GB" w:eastAsia="et-EE"/>
              </w:rPr>
              <w:t>1 602 164</w:t>
            </w:r>
          </w:p>
        </w:tc>
        <w:tc>
          <w:tcPr>
            <w:tcW w:w="1494" w:type="dxa"/>
          </w:tcPr>
          <w:p w14:paraId="67A3C7D9" w14:textId="77777777" w:rsidR="009F7EE6" w:rsidRPr="002E590D" w:rsidRDefault="009F7EE6" w:rsidP="002E590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GB" w:eastAsia="et-EE"/>
              </w:rPr>
            </w:pPr>
          </w:p>
        </w:tc>
        <w:tc>
          <w:tcPr>
            <w:tcW w:w="951" w:type="dxa"/>
            <w:noWrap/>
            <w:hideMark/>
          </w:tcPr>
          <w:p w14:paraId="0EE69352" w14:textId="679C061F" w:rsidR="009F7EE6" w:rsidRPr="002E590D" w:rsidRDefault="009F7EE6" w:rsidP="002E590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GB" w:eastAsia="et-EE"/>
              </w:rPr>
            </w:pPr>
            <w:r w:rsidRPr="002E590D">
              <w:rPr>
                <w:rFonts w:eastAsia="Times New Roman" w:cstheme="minorHAnsi"/>
                <w:sz w:val="20"/>
                <w:szCs w:val="20"/>
                <w:lang w:val="en-GB" w:eastAsia="et-EE"/>
              </w:rPr>
              <w:t>1 298</w:t>
            </w:r>
          </w:p>
        </w:tc>
        <w:tc>
          <w:tcPr>
            <w:tcW w:w="1222" w:type="dxa"/>
            <w:noWrap/>
            <w:hideMark/>
          </w:tcPr>
          <w:p w14:paraId="3EAE5B20" w14:textId="77777777" w:rsidR="009F7EE6" w:rsidRPr="002E590D" w:rsidRDefault="009F7EE6" w:rsidP="002E590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GB" w:eastAsia="et-EE"/>
              </w:rPr>
            </w:pPr>
            <w:r w:rsidRPr="002E590D">
              <w:rPr>
                <w:rFonts w:eastAsia="Times New Roman" w:cstheme="minorHAnsi"/>
                <w:sz w:val="20"/>
                <w:szCs w:val="20"/>
                <w:lang w:val="en-GB" w:eastAsia="et-EE"/>
              </w:rPr>
              <w:t>1 557</w:t>
            </w:r>
          </w:p>
        </w:tc>
        <w:tc>
          <w:tcPr>
            <w:tcW w:w="1040" w:type="dxa"/>
          </w:tcPr>
          <w:p w14:paraId="0A80914A" w14:textId="77777777" w:rsidR="009F7EE6" w:rsidRPr="002E590D" w:rsidRDefault="009F7EE6" w:rsidP="002E590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GB" w:eastAsia="et-EE"/>
              </w:rPr>
            </w:pPr>
          </w:p>
        </w:tc>
        <w:tc>
          <w:tcPr>
            <w:tcW w:w="1237" w:type="dxa"/>
            <w:noWrap/>
            <w:hideMark/>
          </w:tcPr>
          <w:p w14:paraId="41EAA627" w14:textId="4FC3181B" w:rsidR="009F7EE6" w:rsidRPr="002E590D" w:rsidRDefault="009F7EE6" w:rsidP="002E590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GB" w:eastAsia="et-EE"/>
              </w:rPr>
            </w:pPr>
            <w:r w:rsidRPr="002E590D">
              <w:rPr>
                <w:rFonts w:eastAsia="Times New Roman" w:cstheme="minorHAnsi"/>
                <w:sz w:val="20"/>
                <w:szCs w:val="20"/>
                <w:lang w:val="en-GB" w:eastAsia="et-EE"/>
              </w:rPr>
              <w:t>1 234</w:t>
            </w:r>
          </w:p>
        </w:tc>
      </w:tr>
      <w:tr w:rsidR="00FC1BD7" w:rsidRPr="002E590D" w14:paraId="63FA37E1" w14:textId="77777777" w:rsidTr="005F4DFB">
        <w:trPr>
          <w:cnfStyle w:val="000000100000" w:firstRow="0" w:lastRow="0" w:firstColumn="0" w:lastColumn="0" w:oddVBand="0" w:evenVBand="0" w:oddHBand="1" w:evenHBand="0" w:firstRowFirstColumn="0" w:firstRowLastColumn="0" w:lastRowFirstColumn="0" w:lastRowLastColumn="0"/>
          <w:trHeight w:val="314"/>
        </w:trPr>
        <w:tc>
          <w:tcPr>
            <w:cnfStyle w:val="001000000000" w:firstRow="0" w:lastRow="0" w:firstColumn="1" w:lastColumn="0" w:oddVBand="0" w:evenVBand="0" w:oddHBand="0" w:evenHBand="0" w:firstRowFirstColumn="0" w:firstRowLastColumn="0" w:lastRowFirstColumn="0" w:lastRowLastColumn="0"/>
            <w:tcW w:w="1218" w:type="dxa"/>
            <w:hideMark/>
          </w:tcPr>
          <w:p w14:paraId="0F981832" w14:textId="77777777" w:rsidR="009F7EE6" w:rsidRPr="002E590D" w:rsidRDefault="009F7EE6" w:rsidP="002E590D">
            <w:pPr>
              <w:jc w:val="center"/>
              <w:rPr>
                <w:rFonts w:eastAsia="Times New Roman" w:cstheme="minorHAnsi"/>
                <w:b w:val="0"/>
                <w:bCs w:val="0"/>
                <w:sz w:val="20"/>
                <w:szCs w:val="20"/>
                <w:lang w:val="en-GB" w:eastAsia="et-EE"/>
              </w:rPr>
            </w:pPr>
            <w:r w:rsidRPr="002E590D">
              <w:rPr>
                <w:rFonts w:eastAsia="Times New Roman" w:cstheme="minorHAnsi"/>
                <w:sz w:val="20"/>
                <w:szCs w:val="20"/>
                <w:lang w:val="en-GB" w:eastAsia="et-EE"/>
              </w:rPr>
              <w:t>Total public providers</w:t>
            </w:r>
          </w:p>
        </w:tc>
        <w:tc>
          <w:tcPr>
            <w:tcW w:w="1223" w:type="dxa"/>
            <w:hideMark/>
          </w:tcPr>
          <w:p w14:paraId="58E4E332" w14:textId="77777777" w:rsidR="009F7EE6" w:rsidRPr="002E590D" w:rsidRDefault="009F7EE6"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GB" w:eastAsia="et-EE"/>
              </w:rPr>
            </w:pPr>
            <w:r w:rsidRPr="002E590D">
              <w:rPr>
                <w:rFonts w:eastAsia="Times New Roman" w:cstheme="minorHAnsi"/>
                <w:sz w:val="20"/>
                <w:szCs w:val="20"/>
                <w:lang w:val="en-GB" w:eastAsia="et-EE"/>
              </w:rPr>
              <w:t>936</w:t>
            </w:r>
          </w:p>
        </w:tc>
        <w:tc>
          <w:tcPr>
            <w:tcW w:w="1494" w:type="dxa"/>
            <w:hideMark/>
          </w:tcPr>
          <w:p w14:paraId="5FECD55F" w14:textId="77777777" w:rsidR="009F7EE6" w:rsidRPr="002E590D" w:rsidRDefault="009F7EE6"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GB" w:eastAsia="et-EE"/>
              </w:rPr>
            </w:pPr>
            <w:r w:rsidRPr="002E590D">
              <w:rPr>
                <w:rFonts w:eastAsia="Times New Roman" w:cstheme="minorHAnsi"/>
                <w:sz w:val="20"/>
                <w:szCs w:val="20"/>
                <w:lang w:val="en-GB" w:eastAsia="et-EE"/>
              </w:rPr>
              <w:t>3 493 408</w:t>
            </w:r>
          </w:p>
        </w:tc>
        <w:tc>
          <w:tcPr>
            <w:tcW w:w="1494" w:type="dxa"/>
          </w:tcPr>
          <w:p w14:paraId="76266DBA" w14:textId="77777777" w:rsidR="009F7EE6" w:rsidRPr="002E590D" w:rsidRDefault="009F7EE6"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GB" w:eastAsia="et-EE"/>
              </w:rPr>
            </w:pPr>
          </w:p>
        </w:tc>
        <w:tc>
          <w:tcPr>
            <w:tcW w:w="951" w:type="dxa"/>
            <w:hideMark/>
          </w:tcPr>
          <w:p w14:paraId="1BC2800C" w14:textId="3975C57F" w:rsidR="009F7EE6" w:rsidRPr="002E590D" w:rsidRDefault="009F7EE6"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GB" w:eastAsia="et-EE"/>
              </w:rPr>
            </w:pPr>
            <w:r w:rsidRPr="002E590D">
              <w:rPr>
                <w:rFonts w:eastAsia="Times New Roman" w:cstheme="minorHAnsi"/>
                <w:sz w:val="20"/>
                <w:szCs w:val="20"/>
                <w:lang w:val="en-GB" w:eastAsia="et-EE"/>
              </w:rPr>
              <w:t>2 604</w:t>
            </w:r>
          </w:p>
        </w:tc>
        <w:tc>
          <w:tcPr>
            <w:tcW w:w="1222" w:type="dxa"/>
            <w:hideMark/>
          </w:tcPr>
          <w:p w14:paraId="0FB6FA5E" w14:textId="77777777" w:rsidR="009F7EE6" w:rsidRPr="002E590D" w:rsidRDefault="009F7EE6"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GB" w:eastAsia="et-EE"/>
              </w:rPr>
            </w:pPr>
            <w:r w:rsidRPr="002E590D">
              <w:rPr>
                <w:rFonts w:eastAsia="Times New Roman" w:cstheme="minorHAnsi"/>
                <w:sz w:val="20"/>
                <w:szCs w:val="20"/>
                <w:lang w:val="en-GB" w:eastAsia="et-EE"/>
              </w:rPr>
              <w:t>3 384</w:t>
            </w:r>
          </w:p>
        </w:tc>
        <w:tc>
          <w:tcPr>
            <w:tcW w:w="1040" w:type="dxa"/>
          </w:tcPr>
          <w:p w14:paraId="44D808CD" w14:textId="63D1A0D4" w:rsidR="009F7EE6" w:rsidRPr="002E590D" w:rsidRDefault="005234B2"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GB" w:eastAsia="et-EE"/>
              </w:rPr>
            </w:pPr>
            <w:r w:rsidRPr="002E590D">
              <w:rPr>
                <w:rFonts w:eastAsia="Times New Roman" w:cstheme="minorHAnsi"/>
                <w:sz w:val="20"/>
                <w:szCs w:val="20"/>
                <w:lang w:val="en-GB" w:eastAsia="et-EE"/>
              </w:rPr>
              <w:t>3 297</w:t>
            </w:r>
          </w:p>
        </w:tc>
        <w:tc>
          <w:tcPr>
            <w:tcW w:w="1237" w:type="dxa"/>
            <w:hideMark/>
          </w:tcPr>
          <w:p w14:paraId="79AFAFDA" w14:textId="1D7C4E64" w:rsidR="009F7EE6" w:rsidRPr="002E590D" w:rsidRDefault="009F7EE6"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GB" w:eastAsia="et-EE"/>
              </w:rPr>
            </w:pPr>
            <w:r w:rsidRPr="002E590D">
              <w:rPr>
                <w:rFonts w:eastAsia="Times New Roman" w:cstheme="minorHAnsi"/>
                <w:sz w:val="20"/>
                <w:szCs w:val="20"/>
                <w:lang w:val="en-GB" w:eastAsia="et-EE"/>
              </w:rPr>
              <w:t> </w:t>
            </w:r>
          </w:p>
        </w:tc>
      </w:tr>
      <w:tr w:rsidR="00FC1BD7" w:rsidRPr="002E590D" w14:paraId="4D650176" w14:textId="77777777" w:rsidTr="005F4DFB">
        <w:trPr>
          <w:trHeight w:val="164"/>
        </w:trPr>
        <w:tc>
          <w:tcPr>
            <w:cnfStyle w:val="001000000000" w:firstRow="0" w:lastRow="0" w:firstColumn="1" w:lastColumn="0" w:oddVBand="0" w:evenVBand="0" w:oddHBand="0" w:evenHBand="0" w:firstRowFirstColumn="0" w:firstRowLastColumn="0" w:lastRowFirstColumn="0" w:lastRowLastColumn="0"/>
            <w:tcW w:w="1218" w:type="dxa"/>
            <w:noWrap/>
            <w:hideMark/>
          </w:tcPr>
          <w:p w14:paraId="113E8BFB" w14:textId="77777777" w:rsidR="009F7EE6" w:rsidRPr="002E590D" w:rsidRDefault="009F7EE6" w:rsidP="002E590D">
            <w:pPr>
              <w:jc w:val="center"/>
              <w:rPr>
                <w:rFonts w:eastAsia="Times New Roman" w:cstheme="minorHAnsi"/>
                <w:b w:val="0"/>
                <w:bCs w:val="0"/>
                <w:sz w:val="20"/>
                <w:szCs w:val="20"/>
                <w:lang w:val="en-GB" w:eastAsia="et-EE"/>
              </w:rPr>
            </w:pPr>
            <w:r w:rsidRPr="002E590D">
              <w:rPr>
                <w:rFonts w:eastAsia="Times New Roman" w:cstheme="minorHAnsi"/>
                <w:sz w:val="20"/>
                <w:szCs w:val="20"/>
                <w:lang w:val="en-GB" w:eastAsia="et-EE"/>
              </w:rPr>
              <w:t>Private polyclinics</w:t>
            </w:r>
          </w:p>
        </w:tc>
        <w:tc>
          <w:tcPr>
            <w:tcW w:w="1223" w:type="dxa"/>
            <w:noWrap/>
            <w:hideMark/>
          </w:tcPr>
          <w:p w14:paraId="278CDC79" w14:textId="77777777" w:rsidR="009F7EE6" w:rsidRPr="002E590D" w:rsidRDefault="009F7EE6" w:rsidP="002E590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GB" w:eastAsia="et-EE"/>
              </w:rPr>
            </w:pPr>
            <w:r w:rsidRPr="002E590D">
              <w:rPr>
                <w:rFonts w:eastAsia="Times New Roman" w:cstheme="minorHAnsi"/>
                <w:sz w:val="20"/>
                <w:szCs w:val="20"/>
                <w:lang w:val="en-GB" w:eastAsia="et-EE"/>
              </w:rPr>
              <w:t>81</w:t>
            </w:r>
          </w:p>
        </w:tc>
        <w:tc>
          <w:tcPr>
            <w:tcW w:w="1494" w:type="dxa"/>
            <w:noWrap/>
            <w:hideMark/>
          </w:tcPr>
          <w:p w14:paraId="61F2E1F3" w14:textId="77777777" w:rsidR="009F7EE6" w:rsidRPr="002E590D" w:rsidRDefault="009F7EE6" w:rsidP="002E590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GB" w:eastAsia="et-EE"/>
              </w:rPr>
            </w:pPr>
            <w:r w:rsidRPr="002E590D">
              <w:rPr>
                <w:rFonts w:eastAsia="Times New Roman" w:cstheme="minorHAnsi"/>
                <w:sz w:val="20"/>
                <w:szCs w:val="20"/>
                <w:lang w:val="en-GB" w:eastAsia="et-EE"/>
              </w:rPr>
              <w:t> </w:t>
            </w:r>
          </w:p>
        </w:tc>
        <w:tc>
          <w:tcPr>
            <w:tcW w:w="1494" w:type="dxa"/>
          </w:tcPr>
          <w:p w14:paraId="0A3FDEFA" w14:textId="77777777" w:rsidR="009F7EE6" w:rsidRPr="002E590D" w:rsidRDefault="009F7EE6" w:rsidP="002E590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GB" w:eastAsia="et-EE"/>
              </w:rPr>
            </w:pPr>
          </w:p>
        </w:tc>
        <w:tc>
          <w:tcPr>
            <w:tcW w:w="951" w:type="dxa"/>
            <w:noWrap/>
            <w:hideMark/>
          </w:tcPr>
          <w:p w14:paraId="3DD318DE" w14:textId="43F0DC4A" w:rsidR="009F7EE6" w:rsidRPr="002E590D" w:rsidRDefault="009F7EE6" w:rsidP="002E590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GB" w:eastAsia="et-EE"/>
              </w:rPr>
            </w:pPr>
            <w:r w:rsidRPr="002E590D">
              <w:rPr>
                <w:rFonts w:eastAsia="Times New Roman" w:cstheme="minorHAnsi"/>
                <w:sz w:val="20"/>
                <w:szCs w:val="20"/>
                <w:lang w:val="en-GB" w:eastAsia="et-EE"/>
              </w:rPr>
              <w:t>321</w:t>
            </w:r>
          </w:p>
        </w:tc>
        <w:tc>
          <w:tcPr>
            <w:tcW w:w="1222" w:type="dxa"/>
            <w:noWrap/>
            <w:hideMark/>
          </w:tcPr>
          <w:p w14:paraId="666DE492" w14:textId="77777777" w:rsidR="009F7EE6" w:rsidRPr="002E590D" w:rsidRDefault="009F7EE6" w:rsidP="002E590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GB" w:eastAsia="et-EE"/>
              </w:rPr>
            </w:pPr>
            <w:r w:rsidRPr="002E590D">
              <w:rPr>
                <w:rFonts w:eastAsia="Times New Roman" w:cstheme="minorHAnsi"/>
                <w:sz w:val="20"/>
                <w:szCs w:val="20"/>
                <w:lang w:val="en-GB" w:eastAsia="et-EE"/>
              </w:rPr>
              <w:t>644</w:t>
            </w:r>
          </w:p>
        </w:tc>
        <w:tc>
          <w:tcPr>
            <w:tcW w:w="1040" w:type="dxa"/>
          </w:tcPr>
          <w:p w14:paraId="38E894A3" w14:textId="4416384E" w:rsidR="009F7EE6" w:rsidRPr="002E590D" w:rsidRDefault="00362AC6" w:rsidP="002E590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GB" w:eastAsia="et-EE"/>
              </w:rPr>
            </w:pPr>
            <w:r w:rsidRPr="002E590D">
              <w:rPr>
                <w:rFonts w:eastAsia="Times New Roman" w:cstheme="minorHAnsi"/>
                <w:sz w:val="20"/>
                <w:szCs w:val="20"/>
                <w:lang w:val="en-GB" w:eastAsia="et-EE"/>
              </w:rPr>
              <w:t>1 687</w:t>
            </w:r>
          </w:p>
        </w:tc>
        <w:tc>
          <w:tcPr>
            <w:tcW w:w="1237" w:type="dxa"/>
            <w:noWrap/>
            <w:hideMark/>
          </w:tcPr>
          <w:p w14:paraId="20E6B2C5" w14:textId="67A4D0BB" w:rsidR="009F7EE6" w:rsidRPr="002E590D" w:rsidRDefault="009F7EE6" w:rsidP="002E590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GB" w:eastAsia="et-EE"/>
              </w:rPr>
            </w:pPr>
            <w:r w:rsidRPr="002E590D">
              <w:rPr>
                <w:rFonts w:eastAsia="Times New Roman" w:cstheme="minorHAnsi"/>
                <w:sz w:val="20"/>
                <w:szCs w:val="20"/>
                <w:lang w:val="en-GB" w:eastAsia="et-EE"/>
              </w:rPr>
              <w:t> </w:t>
            </w:r>
          </w:p>
        </w:tc>
      </w:tr>
      <w:tr w:rsidR="00FC1BD7" w:rsidRPr="002E590D" w14:paraId="28A37117" w14:textId="77777777" w:rsidTr="005F4DFB">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1218" w:type="dxa"/>
            <w:hideMark/>
          </w:tcPr>
          <w:p w14:paraId="36F5FA2A" w14:textId="77777777" w:rsidR="009F7EE6" w:rsidRPr="002E590D" w:rsidRDefault="009F7EE6" w:rsidP="002E590D">
            <w:pPr>
              <w:jc w:val="center"/>
              <w:rPr>
                <w:rFonts w:eastAsia="Times New Roman" w:cstheme="minorHAnsi"/>
                <w:b w:val="0"/>
                <w:bCs w:val="0"/>
                <w:sz w:val="20"/>
                <w:szCs w:val="20"/>
                <w:lang w:val="en-GB" w:eastAsia="et-EE"/>
              </w:rPr>
            </w:pPr>
            <w:r w:rsidRPr="002E590D">
              <w:rPr>
                <w:rFonts w:eastAsia="Times New Roman" w:cstheme="minorHAnsi"/>
                <w:sz w:val="20"/>
                <w:szCs w:val="20"/>
                <w:lang w:val="en-GB" w:eastAsia="et-EE"/>
              </w:rPr>
              <w:t>Total</w:t>
            </w:r>
          </w:p>
        </w:tc>
        <w:tc>
          <w:tcPr>
            <w:tcW w:w="1223" w:type="dxa"/>
            <w:hideMark/>
          </w:tcPr>
          <w:p w14:paraId="158ADF1F" w14:textId="77777777" w:rsidR="009F7EE6" w:rsidRPr="002E590D" w:rsidRDefault="009F7EE6"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GB" w:eastAsia="et-EE"/>
              </w:rPr>
            </w:pPr>
            <w:r w:rsidRPr="002E590D">
              <w:rPr>
                <w:rFonts w:eastAsia="Times New Roman" w:cstheme="minorHAnsi"/>
                <w:sz w:val="20"/>
                <w:szCs w:val="20"/>
                <w:lang w:val="en-GB" w:eastAsia="et-EE"/>
              </w:rPr>
              <w:t>1 017</w:t>
            </w:r>
          </w:p>
        </w:tc>
        <w:tc>
          <w:tcPr>
            <w:tcW w:w="1494" w:type="dxa"/>
            <w:hideMark/>
          </w:tcPr>
          <w:p w14:paraId="0B9E7524" w14:textId="77777777" w:rsidR="009F7EE6" w:rsidRPr="002E590D" w:rsidRDefault="009F7EE6"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GB" w:eastAsia="et-EE"/>
              </w:rPr>
            </w:pPr>
            <w:r w:rsidRPr="002E590D">
              <w:rPr>
                <w:rFonts w:eastAsia="Times New Roman" w:cstheme="minorHAnsi"/>
                <w:sz w:val="20"/>
                <w:szCs w:val="20"/>
                <w:lang w:val="en-GB" w:eastAsia="et-EE"/>
              </w:rPr>
              <w:t>3 493 408</w:t>
            </w:r>
          </w:p>
        </w:tc>
        <w:tc>
          <w:tcPr>
            <w:tcW w:w="1494" w:type="dxa"/>
          </w:tcPr>
          <w:p w14:paraId="3BFB54BC" w14:textId="53447414" w:rsidR="009F7EE6" w:rsidRPr="002E590D" w:rsidRDefault="009F7EE6"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GB" w:eastAsia="et-EE"/>
              </w:rPr>
            </w:pPr>
          </w:p>
        </w:tc>
        <w:tc>
          <w:tcPr>
            <w:tcW w:w="951" w:type="dxa"/>
            <w:hideMark/>
          </w:tcPr>
          <w:p w14:paraId="5900A77D" w14:textId="1E18E44E" w:rsidR="009F7EE6" w:rsidRPr="002E590D" w:rsidRDefault="009F7EE6"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GB" w:eastAsia="et-EE"/>
              </w:rPr>
            </w:pPr>
            <w:r w:rsidRPr="002E590D">
              <w:rPr>
                <w:rFonts w:eastAsia="Times New Roman" w:cstheme="minorHAnsi"/>
                <w:sz w:val="20"/>
                <w:szCs w:val="20"/>
                <w:lang w:val="en-GB" w:eastAsia="et-EE"/>
              </w:rPr>
              <w:t>2 925</w:t>
            </w:r>
          </w:p>
        </w:tc>
        <w:tc>
          <w:tcPr>
            <w:tcW w:w="1222" w:type="dxa"/>
            <w:hideMark/>
          </w:tcPr>
          <w:p w14:paraId="09265635" w14:textId="77777777" w:rsidR="009F7EE6" w:rsidRPr="002E590D" w:rsidRDefault="009F7EE6"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GB" w:eastAsia="et-EE"/>
              </w:rPr>
            </w:pPr>
            <w:r w:rsidRPr="002E590D">
              <w:rPr>
                <w:rFonts w:eastAsia="Times New Roman" w:cstheme="minorHAnsi"/>
                <w:sz w:val="20"/>
                <w:szCs w:val="20"/>
                <w:lang w:val="en-GB" w:eastAsia="et-EE"/>
              </w:rPr>
              <w:t>4 028</w:t>
            </w:r>
          </w:p>
        </w:tc>
        <w:tc>
          <w:tcPr>
            <w:tcW w:w="1040" w:type="dxa"/>
          </w:tcPr>
          <w:p w14:paraId="43EE22E4" w14:textId="6D889D6B" w:rsidR="009F7EE6" w:rsidRPr="002E590D" w:rsidRDefault="005234B2"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GB" w:eastAsia="et-EE"/>
              </w:rPr>
            </w:pPr>
            <w:r w:rsidRPr="002E590D">
              <w:rPr>
                <w:rFonts w:eastAsia="Times New Roman" w:cstheme="minorHAnsi"/>
                <w:sz w:val="20"/>
                <w:szCs w:val="20"/>
                <w:lang w:val="en-GB" w:eastAsia="et-EE"/>
              </w:rPr>
              <w:t>4 984</w:t>
            </w:r>
          </w:p>
        </w:tc>
        <w:tc>
          <w:tcPr>
            <w:tcW w:w="1237" w:type="dxa"/>
            <w:hideMark/>
          </w:tcPr>
          <w:p w14:paraId="1EC5E308" w14:textId="48E63E3A" w:rsidR="009F7EE6" w:rsidRPr="002E590D" w:rsidRDefault="009F7EE6"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GB" w:eastAsia="et-EE"/>
              </w:rPr>
            </w:pPr>
            <w:r w:rsidRPr="002E590D">
              <w:rPr>
                <w:rFonts w:eastAsia="Times New Roman" w:cstheme="minorHAnsi"/>
                <w:sz w:val="20"/>
                <w:szCs w:val="20"/>
                <w:lang w:val="en-GB" w:eastAsia="et-EE"/>
              </w:rPr>
              <w:t>1 523</w:t>
            </w:r>
          </w:p>
        </w:tc>
      </w:tr>
    </w:tbl>
    <w:p w14:paraId="21364843" w14:textId="0B51AB8D" w:rsidR="00D50BCB" w:rsidRDefault="001159C5" w:rsidP="002E590D">
      <w:pPr>
        <w:spacing w:after="0" w:line="240" w:lineRule="auto"/>
        <w:jc w:val="both"/>
        <w:rPr>
          <w:sz w:val="20"/>
          <w:szCs w:val="20"/>
          <w:lang w:val="en-GB"/>
        </w:rPr>
      </w:pPr>
      <w:r w:rsidRPr="003D1533">
        <w:rPr>
          <w:sz w:val="20"/>
          <w:szCs w:val="20"/>
          <w:lang w:val="en-GB"/>
        </w:rPr>
        <w:t xml:space="preserve">* </w:t>
      </w:r>
      <w:r w:rsidR="00C10107">
        <w:rPr>
          <w:sz w:val="20"/>
          <w:szCs w:val="20"/>
          <w:lang w:val="en-GB"/>
        </w:rPr>
        <w:t>The rural patients are included in the average catchment aera calculations</w:t>
      </w:r>
    </w:p>
    <w:p w14:paraId="572EFFD6" w14:textId="77777777" w:rsidR="00271360" w:rsidRPr="003D1533" w:rsidRDefault="00271360" w:rsidP="002E590D">
      <w:pPr>
        <w:spacing w:after="0" w:line="240" w:lineRule="auto"/>
        <w:jc w:val="both"/>
        <w:rPr>
          <w:sz w:val="20"/>
          <w:szCs w:val="20"/>
          <w:lang w:val="en-GB"/>
        </w:rPr>
      </w:pPr>
    </w:p>
    <w:p w14:paraId="30809B79" w14:textId="75799C99" w:rsidR="00DA72DA" w:rsidRDefault="00DA72DA" w:rsidP="002E590D">
      <w:pPr>
        <w:spacing w:after="0" w:line="240" w:lineRule="auto"/>
        <w:jc w:val="both"/>
        <w:rPr>
          <w:lang w:val="en-GB"/>
        </w:rPr>
      </w:pPr>
      <w:r>
        <w:rPr>
          <w:lang w:val="en-GB"/>
        </w:rPr>
        <w:t>There are in total 2</w:t>
      </w:r>
      <w:r w:rsidR="00F7703A">
        <w:rPr>
          <w:lang w:val="en-GB"/>
        </w:rPr>
        <w:t>,</w:t>
      </w:r>
      <w:r>
        <w:rPr>
          <w:lang w:val="en-GB"/>
        </w:rPr>
        <w:t>9 million pe</w:t>
      </w:r>
      <w:r w:rsidR="00892B36">
        <w:rPr>
          <w:lang w:val="en-GB"/>
        </w:rPr>
        <w:t xml:space="preserve">ople registered in urban providers catchment area and </w:t>
      </w:r>
      <w:r w:rsidR="000E1F14">
        <w:rPr>
          <w:lang w:val="en-GB"/>
        </w:rPr>
        <w:t>1</w:t>
      </w:r>
      <w:r w:rsidR="00F7703A">
        <w:rPr>
          <w:lang w:val="en-GB"/>
        </w:rPr>
        <w:t>,</w:t>
      </w:r>
      <w:r w:rsidR="000E1F14">
        <w:rPr>
          <w:lang w:val="en-GB"/>
        </w:rPr>
        <w:t xml:space="preserve">6 </w:t>
      </w:r>
      <w:r w:rsidR="007A1416">
        <w:rPr>
          <w:lang w:val="en-GB"/>
        </w:rPr>
        <w:t>million</w:t>
      </w:r>
      <w:r w:rsidR="000E1F14">
        <w:rPr>
          <w:lang w:val="en-GB"/>
        </w:rPr>
        <w:t xml:space="preserve"> in rural providers catchment area. About </w:t>
      </w:r>
      <w:r w:rsidR="00743525">
        <w:rPr>
          <w:lang w:val="en-GB"/>
        </w:rPr>
        <w:t>1 million rural patients are registered in urban providers patients lists, but 600 thousand</w:t>
      </w:r>
      <w:r w:rsidR="00921FB9">
        <w:rPr>
          <w:lang w:val="en-GB"/>
        </w:rPr>
        <w:t xml:space="preserve"> only receive care from rural providers. This creates a challenge to ensure equal access to PHC services. It also raises questions how</w:t>
      </w:r>
      <w:r w:rsidR="007A1416">
        <w:rPr>
          <w:lang w:val="en-GB"/>
        </w:rPr>
        <w:t xml:space="preserve"> rural patients not enrolled in urban providers catchment area receive laboratory tests included only in the </w:t>
      </w:r>
      <w:r w:rsidR="00AA1D77">
        <w:rPr>
          <w:lang w:val="en-GB"/>
        </w:rPr>
        <w:t>universal</w:t>
      </w:r>
      <w:r w:rsidR="007A1416">
        <w:rPr>
          <w:lang w:val="en-GB"/>
        </w:rPr>
        <w:t xml:space="preserve"> healthcare program.</w:t>
      </w:r>
    </w:p>
    <w:p w14:paraId="005C7177" w14:textId="77777777" w:rsidR="006B21DA" w:rsidRDefault="006B21DA" w:rsidP="002E590D">
      <w:pPr>
        <w:spacing w:after="0" w:line="240" w:lineRule="auto"/>
        <w:jc w:val="both"/>
        <w:rPr>
          <w:lang w:val="en-GB"/>
        </w:rPr>
      </w:pPr>
    </w:p>
    <w:p w14:paraId="7731D6DC" w14:textId="0E778533" w:rsidR="00D9062C" w:rsidRDefault="00D9062C" w:rsidP="002E590D">
      <w:pPr>
        <w:spacing w:after="0" w:line="240" w:lineRule="auto"/>
        <w:jc w:val="both"/>
        <w:rPr>
          <w:lang w:val="en-GB"/>
        </w:rPr>
      </w:pPr>
      <w:r>
        <w:rPr>
          <w:lang w:val="en-GB"/>
        </w:rPr>
        <w:t>According to NCDC data there are in total 3960 registered FDs</w:t>
      </w:r>
      <w:r w:rsidR="00535AEE">
        <w:rPr>
          <w:lang w:val="en-GB"/>
        </w:rPr>
        <w:t>(table 2)</w:t>
      </w:r>
      <w:r w:rsidRPr="005053C3">
        <w:rPr>
          <w:lang w:val="en-GB"/>
        </w:rPr>
        <w:t>.</w:t>
      </w:r>
      <w:r>
        <w:rPr>
          <w:lang w:val="en-GB"/>
        </w:rPr>
        <w:t xml:space="preserve"> The registered FDs have training in different specialities, mostly being trained in internal medicine, paediatrics, general profile doctors or in cardiology. There are only 130 newly trained FDs with family doctor training.</w:t>
      </w:r>
      <w:r w:rsidR="00866965">
        <w:rPr>
          <w:lang w:val="en-GB"/>
        </w:rPr>
        <w:t xml:space="preserve"> This data indicates that there are more than 1000 registered FDs that do not work in PHC setting.</w:t>
      </w:r>
      <w:r w:rsidR="000048C1">
        <w:rPr>
          <w:lang w:val="en-GB"/>
        </w:rPr>
        <w:t xml:space="preserve"> Since majority of the registered FDs are trained in another speciality, </w:t>
      </w:r>
      <w:r w:rsidR="00BF23EF">
        <w:rPr>
          <w:lang w:val="en-GB"/>
        </w:rPr>
        <w:t xml:space="preserve">these physicians may be still involved in providing specialist </w:t>
      </w:r>
      <w:r w:rsidR="00AA1D77">
        <w:rPr>
          <w:lang w:val="en-GB"/>
        </w:rPr>
        <w:t>care.</w:t>
      </w:r>
    </w:p>
    <w:p w14:paraId="4BBCEF32" w14:textId="43D34D1F" w:rsidR="00535AEE" w:rsidRDefault="00535AEE" w:rsidP="002E590D">
      <w:pPr>
        <w:spacing w:after="0" w:line="240" w:lineRule="auto"/>
        <w:jc w:val="both"/>
        <w:rPr>
          <w:lang w:val="en-GB"/>
        </w:rPr>
      </w:pPr>
      <w:r w:rsidRPr="00535AEE">
        <w:rPr>
          <w:b/>
          <w:bCs/>
          <w:lang w:val="en-GB"/>
        </w:rPr>
        <w:lastRenderedPageBreak/>
        <w:t>Table 2</w:t>
      </w:r>
      <w:r>
        <w:rPr>
          <w:lang w:val="en-GB"/>
        </w:rPr>
        <w:t>. Training of registered FDs</w:t>
      </w:r>
    </w:p>
    <w:tbl>
      <w:tblPr>
        <w:tblStyle w:val="GridTable4-Accent5"/>
        <w:tblW w:w="5435" w:type="dxa"/>
        <w:tblLook w:val="04A0" w:firstRow="1" w:lastRow="0" w:firstColumn="1" w:lastColumn="0" w:noHBand="0" w:noVBand="1"/>
      </w:tblPr>
      <w:tblGrid>
        <w:gridCol w:w="4004"/>
        <w:gridCol w:w="1431"/>
      </w:tblGrid>
      <w:tr w:rsidR="00D9062C" w:rsidRPr="00292740" w14:paraId="23B45407" w14:textId="77777777" w:rsidTr="00681EA9">
        <w:trPr>
          <w:cnfStyle w:val="100000000000" w:firstRow="1" w:lastRow="0" w:firstColumn="0" w:lastColumn="0" w:oddVBand="0" w:evenVBand="0" w:oddHBand="0"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004" w:type="dxa"/>
            <w:noWrap/>
            <w:hideMark/>
          </w:tcPr>
          <w:p w14:paraId="4E0CB347" w14:textId="77777777" w:rsidR="00D9062C" w:rsidRPr="00292740" w:rsidRDefault="00D9062C" w:rsidP="002E590D">
            <w:pPr>
              <w:rPr>
                <w:rFonts w:ascii="Calibri" w:eastAsia="Times New Roman" w:hAnsi="Calibri" w:cs="Calibri"/>
                <w:color w:val="000000"/>
                <w:sz w:val="20"/>
                <w:szCs w:val="20"/>
                <w:lang w:val="en-US" w:eastAsia="et-EE"/>
              </w:rPr>
            </w:pPr>
            <w:r w:rsidRPr="00292740">
              <w:rPr>
                <w:rFonts w:ascii="Calibri" w:eastAsia="Times New Roman" w:hAnsi="Calibri" w:cs="Calibri"/>
                <w:color w:val="000000"/>
                <w:sz w:val="20"/>
                <w:szCs w:val="20"/>
                <w:lang w:val="en-US" w:eastAsia="et-EE"/>
              </w:rPr>
              <w:t>Total registered FDs</w:t>
            </w:r>
          </w:p>
        </w:tc>
        <w:tc>
          <w:tcPr>
            <w:tcW w:w="1431" w:type="dxa"/>
            <w:noWrap/>
            <w:hideMark/>
          </w:tcPr>
          <w:p w14:paraId="58468049" w14:textId="77777777" w:rsidR="00D9062C" w:rsidRPr="00292740" w:rsidRDefault="00D9062C" w:rsidP="002E59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eastAsia="et-EE"/>
              </w:rPr>
            </w:pPr>
            <w:r w:rsidRPr="00292740">
              <w:rPr>
                <w:rFonts w:ascii="Calibri" w:eastAsia="Times New Roman" w:hAnsi="Calibri" w:cs="Calibri"/>
                <w:color w:val="000000"/>
                <w:sz w:val="20"/>
                <w:szCs w:val="20"/>
                <w:lang w:val="en-US" w:eastAsia="et-EE"/>
              </w:rPr>
              <w:t>3960</w:t>
            </w:r>
          </w:p>
        </w:tc>
      </w:tr>
      <w:tr w:rsidR="00D9062C" w:rsidRPr="00292740" w14:paraId="2612F98E" w14:textId="77777777" w:rsidTr="00681EA9">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004" w:type="dxa"/>
            <w:noWrap/>
            <w:hideMark/>
          </w:tcPr>
          <w:p w14:paraId="58084C69" w14:textId="77777777" w:rsidR="00D9062C" w:rsidRPr="00292740" w:rsidRDefault="00D9062C" w:rsidP="002E590D">
            <w:pPr>
              <w:rPr>
                <w:rFonts w:ascii="Calibri" w:eastAsia="Times New Roman" w:hAnsi="Calibri" w:cs="Calibri"/>
                <w:color w:val="000000"/>
                <w:sz w:val="20"/>
                <w:szCs w:val="20"/>
                <w:lang w:val="en-US" w:eastAsia="et-EE"/>
              </w:rPr>
            </w:pPr>
            <w:r w:rsidRPr="00292740">
              <w:rPr>
                <w:rFonts w:ascii="Calibri" w:eastAsia="Times New Roman" w:hAnsi="Calibri" w:cs="Calibri"/>
                <w:color w:val="000000"/>
                <w:sz w:val="20"/>
                <w:szCs w:val="20"/>
                <w:lang w:val="en-US" w:eastAsia="et-EE"/>
              </w:rPr>
              <w:t>Internal Medicine</w:t>
            </w:r>
          </w:p>
        </w:tc>
        <w:tc>
          <w:tcPr>
            <w:tcW w:w="1431" w:type="dxa"/>
            <w:noWrap/>
            <w:hideMark/>
          </w:tcPr>
          <w:p w14:paraId="51683701" w14:textId="77777777" w:rsidR="00D9062C" w:rsidRPr="00292740" w:rsidRDefault="00D9062C"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eastAsia="et-EE"/>
              </w:rPr>
            </w:pPr>
            <w:r w:rsidRPr="00292740">
              <w:rPr>
                <w:rFonts w:ascii="Calibri" w:eastAsia="Times New Roman" w:hAnsi="Calibri" w:cs="Calibri"/>
                <w:color w:val="000000"/>
                <w:sz w:val="20"/>
                <w:szCs w:val="20"/>
                <w:lang w:val="en-US" w:eastAsia="et-EE"/>
              </w:rPr>
              <w:t>1462</w:t>
            </w:r>
          </w:p>
        </w:tc>
      </w:tr>
      <w:tr w:rsidR="00D9062C" w:rsidRPr="00292740" w14:paraId="1C19DF28" w14:textId="77777777" w:rsidTr="00681EA9">
        <w:trPr>
          <w:trHeight w:val="402"/>
        </w:trPr>
        <w:tc>
          <w:tcPr>
            <w:cnfStyle w:val="001000000000" w:firstRow="0" w:lastRow="0" w:firstColumn="1" w:lastColumn="0" w:oddVBand="0" w:evenVBand="0" w:oddHBand="0" w:evenHBand="0" w:firstRowFirstColumn="0" w:firstRowLastColumn="0" w:lastRowFirstColumn="0" w:lastRowLastColumn="0"/>
            <w:tcW w:w="4004" w:type="dxa"/>
            <w:noWrap/>
            <w:hideMark/>
          </w:tcPr>
          <w:p w14:paraId="40FC8E68" w14:textId="77777777" w:rsidR="00D9062C" w:rsidRPr="00292740" w:rsidRDefault="00D9062C" w:rsidP="002E590D">
            <w:pPr>
              <w:rPr>
                <w:rFonts w:ascii="Calibri" w:eastAsia="Times New Roman" w:hAnsi="Calibri" w:cs="Calibri"/>
                <w:color w:val="000000"/>
                <w:sz w:val="20"/>
                <w:szCs w:val="20"/>
                <w:lang w:val="en-US" w:eastAsia="et-EE"/>
              </w:rPr>
            </w:pPr>
            <w:r w:rsidRPr="00292740">
              <w:rPr>
                <w:rFonts w:ascii="Calibri" w:eastAsia="Times New Roman" w:hAnsi="Calibri" w:cs="Calibri"/>
                <w:color w:val="000000"/>
                <w:sz w:val="20"/>
                <w:szCs w:val="20"/>
                <w:lang w:val="en-US" w:eastAsia="et-EE"/>
              </w:rPr>
              <w:t>Pediatrics</w:t>
            </w:r>
          </w:p>
        </w:tc>
        <w:tc>
          <w:tcPr>
            <w:tcW w:w="1431" w:type="dxa"/>
            <w:noWrap/>
            <w:hideMark/>
          </w:tcPr>
          <w:p w14:paraId="33F0131C" w14:textId="77777777" w:rsidR="00D9062C" w:rsidRPr="00292740" w:rsidRDefault="00D9062C"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eastAsia="et-EE"/>
              </w:rPr>
            </w:pPr>
            <w:r w:rsidRPr="00292740">
              <w:rPr>
                <w:rFonts w:ascii="Calibri" w:eastAsia="Times New Roman" w:hAnsi="Calibri" w:cs="Calibri"/>
                <w:color w:val="000000"/>
                <w:sz w:val="20"/>
                <w:szCs w:val="20"/>
                <w:lang w:val="en-US" w:eastAsia="et-EE"/>
              </w:rPr>
              <w:t>1236</w:t>
            </w:r>
          </w:p>
        </w:tc>
      </w:tr>
      <w:tr w:rsidR="00D9062C" w:rsidRPr="00292740" w14:paraId="2E034CED" w14:textId="77777777" w:rsidTr="00681EA9">
        <w:trPr>
          <w:cnfStyle w:val="000000100000" w:firstRow="0" w:lastRow="0" w:firstColumn="0" w:lastColumn="0" w:oddVBand="0" w:evenVBand="0" w:oddHBand="1" w:evenHBand="0" w:firstRowFirstColumn="0" w:firstRowLastColumn="0" w:lastRowFirstColumn="0" w:lastRowLastColumn="0"/>
          <w:trHeight w:val="606"/>
        </w:trPr>
        <w:tc>
          <w:tcPr>
            <w:cnfStyle w:val="001000000000" w:firstRow="0" w:lastRow="0" w:firstColumn="1" w:lastColumn="0" w:oddVBand="0" w:evenVBand="0" w:oddHBand="0" w:evenHBand="0" w:firstRowFirstColumn="0" w:firstRowLastColumn="0" w:lastRowFirstColumn="0" w:lastRowLastColumn="0"/>
            <w:tcW w:w="4004" w:type="dxa"/>
            <w:hideMark/>
          </w:tcPr>
          <w:p w14:paraId="2792CE09" w14:textId="77777777" w:rsidR="00D9062C" w:rsidRPr="00292740" w:rsidRDefault="00D9062C" w:rsidP="002E590D">
            <w:pPr>
              <w:rPr>
                <w:rFonts w:ascii="Calibri" w:eastAsia="Times New Roman" w:hAnsi="Calibri" w:cs="Calibri"/>
                <w:color w:val="000000"/>
                <w:sz w:val="20"/>
                <w:szCs w:val="20"/>
                <w:lang w:val="en-US" w:eastAsia="et-EE"/>
              </w:rPr>
            </w:pPr>
            <w:r>
              <w:rPr>
                <w:rFonts w:ascii="Calibri" w:eastAsia="Times New Roman" w:hAnsi="Calibri" w:cs="Calibri"/>
                <w:color w:val="000000"/>
                <w:sz w:val="20"/>
                <w:szCs w:val="20"/>
                <w:lang w:val="en-US" w:eastAsia="et-EE"/>
              </w:rPr>
              <w:t>G</w:t>
            </w:r>
            <w:r w:rsidRPr="00292740">
              <w:rPr>
                <w:rFonts w:ascii="Calibri" w:eastAsia="Times New Roman" w:hAnsi="Calibri" w:cs="Calibri"/>
                <w:color w:val="000000"/>
                <w:sz w:val="20"/>
                <w:szCs w:val="20"/>
                <w:lang w:val="en-US" w:eastAsia="et-EE"/>
              </w:rPr>
              <w:t>eneral profile doctors</w:t>
            </w:r>
            <w:r>
              <w:rPr>
                <w:rFonts w:ascii="Calibri" w:eastAsia="Times New Roman" w:hAnsi="Calibri" w:cs="Calibri"/>
                <w:color w:val="000000"/>
                <w:sz w:val="20"/>
                <w:szCs w:val="20"/>
                <w:lang w:val="en-US" w:eastAsia="et-EE"/>
              </w:rPr>
              <w:t xml:space="preserve">, </w:t>
            </w:r>
            <w:r w:rsidRPr="00292740">
              <w:rPr>
                <w:rFonts w:ascii="Calibri" w:eastAsia="Times New Roman" w:hAnsi="Calibri" w:cs="Calibri"/>
                <w:color w:val="000000"/>
                <w:sz w:val="20"/>
                <w:szCs w:val="20"/>
                <w:lang w:val="en-US" w:eastAsia="et-EE"/>
              </w:rPr>
              <w:t>Public Health and Health Organization</w:t>
            </w:r>
          </w:p>
        </w:tc>
        <w:tc>
          <w:tcPr>
            <w:tcW w:w="1431" w:type="dxa"/>
            <w:noWrap/>
            <w:hideMark/>
          </w:tcPr>
          <w:p w14:paraId="45F6F434" w14:textId="77777777" w:rsidR="00D9062C" w:rsidRPr="00292740" w:rsidRDefault="00D9062C"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eastAsia="et-EE"/>
              </w:rPr>
            </w:pPr>
            <w:r w:rsidRPr="00292740">
              <w:rPr>
                <w:rFonts w:ascii="Calibri" w:eastAsia="Times New Roman" w:hAnsi="Calibri" w:cs="Calibri"/>
                <w:color w:val="000000"/>
                <w:sz w:val="20"/>
                <w:szCs w:val="20"/>
                <w:lang w:val="en-US" w:eastAsia="et-EE"/>
              </w:rPr>
              <w:t>229</w:t>
            </w:r>
          </w:p>
        </w:tc>
      </w:tr>
      <w:tr w:rsidR="00D9062C" w:rsidRPr="00292740" w14:paraId="3BE24A9C" w14:textId="77777777" w:rsidTr="00681EA9">
        <w:trPr>
          <w:trHeight w:val="200"/>
        </w:trPr>
        <w:tc>
          <w:tcPr>
            <w:cnfStyle w:val="001000000000" w:firstRow="0" w:lastRow="0" w:firstColumn="1" w:lastColumn="0" w:oddVBand="0" w:evenVBand="0" w:oddHBand="0" w:evenHBand="0" w:firstRowFirstColumn="0" w:firstRowLastColumn="0" w:lastRowFirstColumn="0" w:lastRowLastColumn="0"/>
            <w:tcW w:w="4004" w:type="dxa"/>
            <w:noWrap/>
            <w:hideMark/>
          </w:tcPr>
          <w:p w14:paraId="4FAAF85D" w14:textId="77777777" w:rsidR="00D9062C" w:rsidRPr="00292740" w:rsidRDefault="00D9062C" w:rsidP="002E590D">
            <w:pPr>
              <w:rPr>
                <w:rFonts w:ascii="Calibri" w:eastAsia="Times New Roman" w:hAnsi="Calibri" w:cs="Calibri"/>
                <w:color w:val="000000"/>
                <w:sz w:val="20"/>
                <w:szCs w:val="20"/>
                <w:lang w:val="en-US" w:eastAsia="et-EE"/>
              </w:rPr>
            </w:pPr>
            <w:r w:rsidRPr="00292740">
              <w:rPr>
                <w:rFonts w:ascii="Calibri" w:eastAsia="Times New Roman" w:hAnsi="Calibri" w:cs="Calibri"/>
                <w:color w:val="000000"/>
                <w:sz w:val="20"/>
                <w:szCs w:val="20"/>
                <w:lang w:val="en-US" w:eastAsia="et-EE"/>
              </w:rPr>
              <w:t>Cardiology</w:t>
            </w:r>
          </w:p>
        </w:tc>
        <w:tc>
          <w:tcPr>
            <w:tcW w:w="1431" w:type="dxa"/>
            <w:noWrap/>
            <w:hideMark/>
          </w:tcPr>
          <w:p w14:paraId="6D06E093" w14:textId="77777777" w:rsidR="00D9062C" w:rsidRPr="00292740" w:rsidRDefault="00D9062C"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eastAsia="et-EE"/>
              </w:rPr>
            </w:pPr>
            <w:r w:rsidRPr="00292740">
              <w:rPr>
                <w:rFonts w:ascii="Calibri" w:eastAsia="Times New Roman" w:hAnsi="Calibri" w:cs="Calibri"/>
                <w:color w:val="000000"/>
                <w:sz w:val="20"/>
                <w:szCs w:val="20"/>
                <w:lang w:val="en-US" w:eastAsia="et-EE"/>
              </w:rPr>
              <w:t>169</w:t>
            </w:r>
          </w:p>
        </w:tc>
      </w:tr>
      <w:tr w:rsidR="00D9062C" w:rsidRPr="00292740" w14:paraId="0EEE1B4F" w14:textId="77777777" w:rsidTr="00681EA9">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004" w:type="dxa"/>
            <w:noWrap/>
            <w:hideMark/>
          </w:tcPr>
          <w:p w14:paraId="73550907" w14:textId="77777777" w:rsidR="00D9062C" w:rsidRPr="00292740" w:rsidRDefault="00D9062C" w:rsidP="002E590D">
            <w:pPr>
              <w:rPr>
                <w:rFonts w:ascii="Calibri" w:eastAsia="Times New Roman" w:hAnsi="Calibri" w:cs="Calibri"/>
                <w:color w:val="000000"/>
                <w:sz w:val="20"/>
                <w:szCs w:val="20"/>
                <w:lang w:val="en-US" w:eastAsia="et-EE"/>
              </w:rPr>
            </w:pPr>
            <w:r w:rsidRPr="00292740">
              <w:rPr>
                <w:rFonts w:ascii="Calibri" w:eastAsia="Times New Roman" w:hAnsi="Calibri" w:cs="Calibri"/>
                <w:color w:val="000000"/>
                <w:sz w:val="20"/>
                <w:szCs w:val="20"/>
                <w:lang w:val="en-US" w:eastAsia="et-EE"/>
              </w:rPr>
              <w:t>Family doctor</w:t>
            </w:r>
          </w:p>
        </w:tc>
        <w:tc>
          <w:tcPr>
            <w:tcW w:w="1431" w:type="dxa"/>
            <w:noWrap/>
            <w:hideMark/>
          </w:tcPr>
          <w:p w14:paraId="204840E4" w14:textId="77777777" w:rsidR="00D9062C" w:rsidRPr="00292740" w:rsidRDefault="00D9062C"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eastAsia="et-EE"/>
              </w:rPr>
            </w:pPr>
            <w:r w:rsidRPr="00292740">
              <w:rPr>
                <w:rFonts w:ascii="Calibri" w:eastAsia="Times New Roman" w:hAnsi="Calibri" w:cs="Calibri"/>
                <w:color w:val="000000"/>
                <w:sz w:val="20"/>
                <w:szCs w:val="20"/>
                <w:lang w:val="en-US" w:eastAsia="et-EE"/>
              </w:rPr>
              <w:t>130</w:t>
            </w:r>
          </w:p>
        </w:tc>
      </w:tr>
      <w:tr w:rsidR="00D9062C" w:rsidRPr="00292740" w14:paraId="46DE3B03" w14:textId="77777777" w:rsidTr="00681EA9">
        <w:trPr>
          <w:trHeight w:val="200"/>
        </w:trPr>
        <w:tc>
          <w:tcPr>
            <w:cnfStyle w:val="001000000000" w:firstRow="0" w:lastRow="0" w:firstColumn="1" w:lastColumn="0" w:oddVBand="0" w:evenVBand="0" w:oddHBand="0" w:evenHBand="0" w:firstRowFirstColumn="0" w:firstRowLastColumn="0" w:lastRowFirstColumn="0" w:lastRowLastColumn="0"/>
            <w:tcW w:w="4004" w:type="dxa"/>
            <w:noWrap/>
            <w:hideMark/>
          </w:tcPr>
          <w:p w14:paraId="5F9A6D2E" w14:textId="77777777" w:rsidR="00D9062C" w:rsidRPr="00292740" w:rsidRDefault="00D9062C" w:rsidP="002E590D">
            <w:pPr>
              <w:rPr>
                <w:rFonts w:ascii="Calibri" w:eastAsia="Times New Roman" w:hAnsi="Calibri" w:cs="Calibri"/>
                <w:color w:val="000000"/>
                <w:sz w:val="20"/>
                <w:szCs w:val="20"/>
                <w:lang w:val="en-US" w:eastAsia="et-EE"/>
              </w:rPr>
            </w:pPr>
            <w:r w:rsidRPr="00292740">
              <w:rPr>
                <w:rFonts w:ascii="Calibri" w:eastAsia="Times New Roman" w:hAnsi="Calibri" w:cs="Calibri"/>
                <w:color w:val="000000"/>
                <w:sz w:val="20"/>
                <w:szCs w:val="20"/>
                <w:lang w:val="en-US" w:eastAsia="et-EE"/>
              </w:rPr>
              <w:t>Neonatology</w:t>
            </w:r>
          </w:p>
        </w:tc>
        <w:tc>
          <w:tcPr>
            <w:tcW w:w="1431" w:type="dxa"/>
            <w:noWrap/>
            <w:hideMark/>
          </w:tcPr>
          <w:p w14:paraId="425B627D" w14:textId="77777777" w:rsidR="00D9062C" w:rsidRPr="00292740" w:rsidRDefault="00D9062C"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eastAsia="et-EE"/>
              </w:rPr>
            </w:pPr>
            <w:r w:rsidRPr="00292740">
              <w:rPr>
                <w:rFonts w:ascii="Calibri" w:eastAsia="Times New Roman" w:hAnsi="Calibri" w:cs="Calibri"/>
                <w:color w:val="000000"/>
                <w:sz w:val="20"/>
                <w:szCs w:val="20"/>
                <w:lang w:val="en-US" w:eastAsia="et-EE"/>
              </w:rPr>
              <w:t>66</w:t>
            </w:r>
          </w:p>
        </w:tc>
      </w:tr>
      <w:tr w:rsidR="00D9062C" w:rsidRPr="00292740" w14:paraId="44FB57AF" w14:textId="77777777" w:rsidTr="00681EA9">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004" w:type="dxa"/>
            <w:noWrap/>
            <w:hideMark/>
          </w:tcPr>
          <w:p w14:paraId="568AC79E" w14:textId="77777777" w:rsidR="00D9062C" w:rsidRPr="00292740" w:rsidRDefault="00D9062C" w:rsidP="002E590D">
            <w:pPr>
              <w:rPr>
                <w:rFonts w:ascii="Calibri" w:eastAsia="Times New Roman" w:hAnsi="Calibri" w:cs="Calibri"/>
                <w:color w:val="000000"/>
                <w:sz w:val="20"/>
                <w:szCs w:val="20"/>
                <w:lang w:val="en-US" w:eastAsia="et-EE"/>
              </w:rPr>
            </w:pPr>
            <w:r w:rsidRPr="00292740">
              <w:rPr>
                <w:rFonts w:ascii="Calibri" w:eastAsia="Times New Roman" w:hAnsi="Calibri" w:cs="Calibri"/>
                <w:color w:val="000000"/>
                <w:sz w:val="20"/>
                <w:szCs w:val="20"/>
                <w:lang w:val="en-US" w:eastAsia="et-EE"/>
              </w:rPr>
              <w:t>Emergency medicine</w:t>
            </w:r>
          </w:p>
        </w:tc>
        <w:tc>
          <w:tcPr>
            <w:tcW w:w="1431" w:type="dxa"/>
            <w:noWrap/>
            <w:hideMark/>
          </w:tcPr>
          <w:p w14:paraId="2518D6F6" w14:textId="77777777" w:rsidR="00D9062C" w:rsidRPr="00292740" w:rsidRDefault="00D9062C"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eastAsia="et-EE"/>
              </w:rPr>
            </w:pPr>
            <w:r w:rsidRPr="00292740">
              <w:rPr>
                <w:rFonts w:ascii="Calibri" w:eastAsia="Times New Roman" w:hAnsi="Calibri" w:cs="Calibri"/>
                <w:color w:val="000000"/>
                <w:sz w:val="20"/>
                <w:szCs w:val="20"/>
                <w:lang w:val="en-US" w:eastAsia="et-EE"/>
              </w:rPr>
              <w:t>63</w:t>
            </w:r>
          </w:p>
        </w:tc>
      </w:tr>
      <w:tr w:rsidR="00D9062C" w:rsidRPr="00292740" w14:paraId="25E37DD2" w14:textId="77777777" w:rsidTr="00681EA9">
        <w:trPr>
          <w:trHeight w:val="200"/>
        </w:trPr>
        <w:tc>
          <w:tcPr>
            <w:cnfStyle w:val="001000000000" w:firstRow="0" w:lastRow="0" w:firstColumn="1" w:lastColumn="0" w:oddVBand="0" w:evenVBand="0" w:oddHBand="0" w:evenHBand="0" w:firstRowFirstColumn="0" w:firstRowLastColumn="0" w:lastRowFirstColumn="0" w:lastRowLastColumn="0"/>
            <w:tcW w:w="4004" w:type="dxa"/>
            <w:noWrap/>
            <w:hideMark/>
          </w:tcPr>
          <w:p w14:paraId="795FB6E1" w14:textId="77777777" w:rsidR="00D9062C" w:rsidRPr="00292740" w:rsidRDefault="00D9062C" w:rsidP="002E590D">
            <w:pPr>
              <w:rPr>
                <w:rFonts w:ascii="Calibri" w:eastAsia="Times New Roman" w:hAnsi="Calibri" w:cs="Calibri"/>
                <w:color w:val="000000"/>
                <w:sz w:val="20"/>
                <w:szCs w:val="20"/>
                <w:lang w:val="en-US" w:eastAsia="et-EE"/>
              </w:rPr>
            </w:pPr>
            <w:r w:rsidRPr="00292740">
              <w:rPr>
                <w:rFonts w:ascii="Calibri" w:eastAsia="Times New Roman" w:hAnsi="Calibri" w:cs="Calibri"/>
                <w:color w:val="000000"/>
                <w:sz w:val="20"/>
                <w:szCs w:val="20"/>
                <w:lang w:val="en-US" w:eastAsia="et-EE"/>
              </w:rPr>
              <w:t>Neurology</w:t>
            </w:r>
          </w:p>
        </w:tc>
        <w:tc>
          <w:tcPr>
            <w:tcW w:w="1431" w:type="dxa"/>
            <w:noWrap/>
            <w:hideMark/>
          </w:tcPr>
          <w:p w14:paraId="67F7BB90" w14:textId="77777777" w:rsidR="00D9062C" w:rsidRPr="00292740" w:rsidRDefault="00D9062C"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eastAsia="et-EE"/>
              </w:rPr>
            </w:pPr>
            <w:r w:rsidRPr="00292740">
              <w:rPr>
                <w:rFonts w:ascii="Calibri" w:eastAsia="Times New Roman" w:hAnsi="Calibri" w:cs="Calibri"/>
                <w:color w:val="000000"/>
                <w:sz w:val="20"/>
                <w:szCs w:val="20"/>
                <w:lang w:val="en-US" w:eastAsia="et-EE"/>
              </w:rPr>
              <w:t>59</w:t>
            </w:r>
          </w:p>
        </w:tc>
      </w:tr>
      <w:tr w:rsidR="00D9062C" w:rsidRPr="00292740" w14:paraId="6D821DC4" w14:textId="77777777" w:rsidTr="00681EA9">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004" w:type="dxa"/>
            <w:noWrap/>
            <w:hideMark/>
          </w:tcPr>
          <w:p w14:paraId="235EBA75" w14:textId="77777777" w:rsidR="00D9062C" w:rsidRPr="00292740" w:rsidRDefault="00D9062C" w:rsidP="002E590D">
            <w:pPr>
              <w:rPr>
                <w:rFonts w:ascii="Calibri" w:eastAsia="Times New Roman" w:hAnsi="Calibri" w:cs="Calibri"/>
                <w:color w:val="000000"/>
                <w:sz w:val="20"/>
                <w:szCs w:val="20"/>
                <w:lang w:val="en-US" w:eastAsia="et-EE"/>
              </w:rPr>
            </w:pPr>
            <w:r w:rsidRPr="00292740">
              <w:rPr>
                <w:rFonts w:ascii="Calibri" w:eastAsia="Times New Roman" w:hAnsi="Calibri" w:cs="Calibri"/>
                <w:color w:val="000000"/>
                <w:sz w:val="20"/>
                <w:szCs w:val="20"/>
                <w:lang w:val="en-US" w:eastAsia="et-EE"/>
              </w:rPr>
              <w:t>Endocrinology</w:t>
            </w:r>
          </w:p>
        </w:tc>
        <w:tc>
          <w:tcPr>
            <w:tcW w:w="1431" w:type="dxa"/>
            <w:noWrap/>
            <w:hideMark/>
          </w:tcPr>
          <w:p w14:paraId="0423D3D4" w14:textId="77777777" w:rsidR="00D9062C" w:rsidRPr="00292740" w:rsidRDefault="00D9062C"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eastAsia="et-EE"/>
              </w:rPr>
            </w:pPr>
            <w:r w:rsidRPr="00292740">
              <w:rPr>
                <w:rFonts w:ascii="Calibri" w:eastAsia="Times New Roman" w:hAnsi="Calibri" w:cs="Calibri"/>
                <w:color w:val="000000"/>
                <w:sz w:val="20"/>
                <w:szCs w:val="20"/>
                <w:lang w:val="en-US" w:eastAsia="et-EE"/>
              </w:rPr>
              <w:t>53</w:t>
            </w:r>
          </w:p>
        </w:tc>
      </w:tr>
      <w:tr w:rsidR="00D9062C" w:rsidRPr="00292740" w14:paraId="3353F445" w14:textId="77777777" w:rsidTr="00681EA9">
        <w:trPr>
          <w:trHeight w:val="200"/>
        </w:trPr>
        <w:tc>
          <w:tcPr>
            <w:cnfStyle w:val="001000000000" w:firstRow="0" w:lastRow="0" w:firstColumn="1" w:lastColumn="0" w:oddVBand="0" w:evenVBand="0" w:oddHBand="0" w:evenHBand="0" w:firstRowFirstColumn="0" w:firstRowLastColumn="0" w:lastRowFirstColumn="0" w:lastRowLastColumn="0"/>
            <w:tcW w:w="4004" w:type="dxa"/>
            <w:noWrap/>
            <w:hideMark/>
          </w:tcPr>
          <w:p w14:paraId="33BCD96C" w14:textId="77777777" w:rsidR="00D9062C" w:rsidRPr="00292740" w:rsidRDefault="00D9062C" w:rsidP="002E590D">
            <w:pPr>
              <w:rPr>
                <w:rFonts w:ascii="Calibri" w:eastAsia="Times New Roman" w:hAnsi="Calibri" w:cs="Calibri"/>
                <w:color w:val="000000"/>
                <w:sz w:val="20"/>
                <w:szCs w:val="20"/>
                <w:lang w:val="en-US" w:eastAsia="et-EE"/>
              </w:rPr>
            </w:pPr>
            <w:r w:rsidRPr="00292740">
              <w:rPr>
                <w:rFonts w:ascii="Calibri" w:eastAsia="Times New Roman" w:hAnsi="Calibri" w:cs="Calibri"/>
                <w:color w:val="000000"/>
                <w:sz w:val="20"/>
                <w:szCs w:val="20"/>
                <w:lang w:val="en-US" w:eastAsia="et-EE"/>
              </w:rPr>
              <w:t>Infectious diseases</w:t>
            </w:r>
          </w:p>
        </w:tc>
        <w:tc>
          <w:tcPr>
            <w:tcW w:w="1431" w:type="dxa"/>
            <w:noWrap/>
            <w:hideMark/>
          </w:tcPr>
          <w:p w14:paraId="6EEDC964" w14:textId="77777777" w:rsidR="00D9062C" w:rsidRPr="00292740" w:rsidRDefault="00D9062C"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eastAsia="et-EE"/>
              </w:rPr>
            </w:pPr>
            <w:r w:rsidRPr="00292740">
              <w:rPr>
                <w:rFonts w:ascii="Calibri" w:eastAsia="Times New Roman" w:hAnsi="Calibri" w:cs="Calibri"/>
                <w:color w:val="000000"/>
                <w:sz w:val="20"/>
                <w:szCs w:val="20"/>
                <w:lang w:val="en-US" w:eastAsia="et-EE"/>
              </w:rPr>
              <w:t>50</w:t>
            </w:r>
          </w:p>
        </w:tc>
      </w:tr>
      <w:tr w:rsidR="00D9062C" w:rsidRPr="00292740" w14:paraId="2FE4E326" w14:textId="77777777" w:rsidTr="00681EA9">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004" w:type="dxa"/>
            <w:noWrap/>
            <w:hideMark/>
          </w:tcPr>
          <w:p w14:paraId="36CEC71F" w14:textId="77777777" w:rsidR="00D9062C" w:rsidRPr="00292740" w:rsidRDefault="00D9062C" w:rsidP="002E590D">
            <w:pPr>
              <w:rPr>
                <w:rFonts w:ascii="Calibri" w:eastAsia="Times New Roman" w:hAnsi="Calibri" w:cs="Calibri"/>
                <w:color w:val="000000"/>
                <w:sz w:val="20"/>
                <w:szCs w:val="20"/>
                <w:lang w:val="en-US" w:eastAsia="et-EE"/>
              </w:rPr>
            </w:pPr>
            <w:r w:rsidRPr="00292740">
              <w:rPr>
                <w:rFonts w:ascii="Calibri" w:eastAsia="Times New Roman" w:hAnsi="Calibri" w:cs="Calibri"/>
                <w:color w:val="000000"/>
                <w:sz w:val="20"/>
                <w:szCs w:val="20"/>
                <w:lang w:val="en-US" w:eastAsia="et-EE"/>
              </w:rPr>
              <w:t>Pulmonology</w:t>
            </w:r>
          </w:p>
        </w:tc>
        <w:tc>
          <w:tcPr>
            <w:tcW w:w="1431" w:type="dxa"/>
            <w:noWrap/>
            <w:hideMark/>
          </w:tcPr>
          <w:p w14:paraId="35B9B1C0" w14:textId="77777777" w:rsidR="00D9062C" w:rsidRPr="00292740" w:rsidRDefault="00D9062C"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eastAsia="et-EE"/>
              </w:rPr>
            </w:pPr>
            <w:r w:rsidRPr="00292740">
              <w:rPr>
                <w:rFonts w:ascii="Calibri" w:eastAsia="Times New Roman" w:hAnsi="Calibri" w:cs="Calibri"/>
                <w:color w:val="000000"/>
                <w:sz w:val="20"/>
                <w:szCs w:val="20"/>
                <w:lang w:val="en-US" w:eastAsia="et-EE"/>
              </w:rPr>
              <w:t>38</w:t>
            </w:r>
          </w:p>
        </w:tc>
      </w:tr>
      <w:tr w:rsidR="00D9062C" w:rsidRPr="00292740" w14:paraId="13615914" w14:textId="77777777" w:rsidTr="00681EA9">
        <w:trPr>
          <w:trHeight w:val="200"/>
        </w:trPr>
        <w:tc>
          <w:tcPr>
            <w:cnfStyle w:val="001000000000" w:firstRow="0" w:lastRow="0" w:firstColumn="1" w:lastColumn="0" w:oddVBand="0" w:evenVBand="0" w:oddHBand="0" w:evenHBand="0" w:firstRowFirstColumn="0" w:firstRowLastColumn="0" w:lastRowFirstColumn="0" w:lastRowLastColumn="0"/>
            <w:tcW w:w="4004" w:type="dxa"/>
            <w:noWrap/>
            <w:hideMark/>
          </w:tcPr>
          <w:p w14:paraId="7AEAFED2" w14:textId="77777777" w:rsidR="00D9062C" w:rsidRPr="00292740" w:rsidRDefault="00D9062C" w:rsidP="002E590D">
            <w:pPr>
              <w:rPr>
                <w:rFonts w:ascii="Calibri" w:eastAsia="Times New Roman" w:hAnsi="Calibri" w:cs="Calibri"/>
                <w:color w:val="000000"/>
                <w:sz w:val="20"/>
                <w:szCs w:val="20"/>
                <w:lang w:val="en-US" w:eastAsia="et-EE"/>
              </w:rPr>
            </w:pPr>
            <w:r w:rsidRPr="00292740">
              <w:rPr>
                <w:rFonts w:ascii="Calibri" w:eastAsia="Times New Roman" w:hAnsi="Calibri" w:cs="Calibri"/>
                <w:color w:val="000000"/>
                <w:sz w:val="20"/>
                <w:szCs w:val="20"/>
                <w:lang w:val="en-US" w:eastAsia="et-EE"/>
              </w:rPr>
              <w:t>Medical-social expertise</w:t>
            </w:r>
          </w:p>
        </w:tc>
        <w:tc>
          <w:tcPr>
            <w:tcW w:w="1431" w:type="dxa"/>
            <w:noWrap/>
            <w:hideMark/>
          </w:tcPr>
          <w:p w14:paraId="243EAC36" w14:textId="77777777" w:rsidR="00D9062C" w:rsidRPr="00292740" w:rsidRDefault="00D9062C"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0"/>
                <w:lang w:val="en-US" w:eastAsia="et-EE"/>
              </w:rPr>
            </w:pPr>
            <w:r w:rsidRPr="00292740">
              <w:rPr>
                <w:rFonts w:ascii="Calibri" w:eastAsia="Times New Roman" w:hAnsi="Calibri" w:cs="Calibri"/>
                <w:color w:val="000000"/>
                <w:sz w:val="20"/>
                <w:szCs w:val="20"/>
                <w:lang w:val="en-US" w:eastAsia="et-EE"/>
              </w:rPr>
              <w:t>34</w:t>
            </w:r>
          </w:p>
        </w:tc>
      </w:tr>
      <w:tr w:rsidR="00D9062C" w:rsidRPr="00292740" w14:paraId="06F18FBD" w14:textId="77777777" w:rsidTr="00681EA9">
        <w:trPr>
          <w:cnfStyle w:val="000000100000" w:firstRow="0" w:lastRow="0" w:firstColumn="0" w:lastColumn="0" w:oddVBand="0" w:evenVBand="0" w:oddHBand="1" w:evenHBand="0" w:firstRowFirstColumn="0" w:firstRowLastColumn="0" w:lastRowFirstColumn="0" w:lastRowLastColumn="0"/>
          <w:trHeight w:val="200"/>
        </w:trPr>
        <w:tc>
          <w:tcPr>
            <w:cnfStyle w:val="001000000000" w:firstRow="0" w:lastRow="0" w:firstColumn="1" w:lastColumn="0" w:oddVBand="0" w:evenVBand="0" w:oddHBand="0" w:evenHBand="0" w:firstRowFirstColumn="0" w:firstRowLastColumn="0" w:lastRowFirstColumn="0" w:lastRowLastColumn="0"/>
            <w:tcW w:w="4004" w:type="dxa"/>
            <w:noWrap/>
            <w:hideMark/>
          </w:tcPr>
          <w:p w14:paraId="18A3165B" w14:textId="77777777" w:rsidR="00D9062C" w:rsidRPr="00292740" w:rsidRDefault="00D9062C" w:rsidP="002E590D">
            <w:pPr>
              <w:rPr>
                <w:rFonts w:ascii="Calibri" w:eastAsia="Times New Roman" w:hAnsi="Calibri" w:cs="Calibri"/>
                <w:color w:val="000000"/>
                <w:sz w:val="20"/>
                <w:szCs w:val="20"/>
                <w:lang w:val="en-US" w:eastAsia="et-EE"/>
              </w:rPr>
            </w:pPr>
            <w:r w:rsidRPr="00292740">
              <w:rPr>
                <w:rFonts w:ascii="Calibri" w:eastAsia="Times New Roman" w:hAnsi="Calibri" w:cs="Calibri"/>
                <w:color w:val="000000"/>
                <w:sz w:val="20"/>
                <w:szCs w:val="20"/>
                <w:lang w:val="en-US" w:eastAsia="et-EE"/>
              </w:rPr>
              <w:t>Other</w:t>
            </w:r>
          </w:p>
        </w:tc>
        <w:tc>
          <w:tcPr>
            <w:tcW w:w="1431" w:type="dxa"/>
            <w:noWrap/>
            <w:hideMark/>
          </w:tcPr>
          <w:p w14:paraId="439D5C7A" w14:textId="77777777" w:rsidR="00D9062C" w:rsidRPr="00292740" w:rsidRDefault="00D9062C"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sz w:val="20"/>
                <w:szCs w:val="20"/>
                <w:lang w:val="en-US" w:eastAsia="et-EE"/>
              </w:rPr>
            </w:pPr>
            <w:r w:rsidRPr="00292740">
              <w:rPr>
                <w:rFonts w:ascii="Calibri" w:eastAsia="Times New Roman" w:hAnsi="Calibri" w:cs="Calibri"/>
                <w:color w:val="000000"/>
                <w:sz w:val="20"/>
                <w:szCs w:val="20"/>
                <w:lang w:val="en-US" w:eastAsia="et-EE"/>
              </w:rPr>
              <w:t>340</w:t>
            </w:r>
          </w:p>
        </w:tc>
      </w:tr>
    </w:tbl>
    <w:p w14:paraId="7C23E9D9" w14:textId="77777777" w:rsidR="00D9062C" w:rsidRDefault="00D9062C" w:rsidP="002E590D">
      <w:pPr>
        <w:spacing w:after="0" w:line="240" w:lineRule="auto"/>
        <w:jc w:val="both"/>
        <w:rPr>
          <w:lang w:val="en-GB"/>
        </w:rPr>
      </w:pPr>
    </w:p>
    <w:p w14:paraId="47371A29" w14:textId="734328B1" w:rsidR="00D50BCB" w:rsidRPr="005053C3" w:rsidRDefault="00D50BCB" w:rsidP="002E590D">
      <w:pPr>
        <w:spacing w:after="0" w:line="240" w:lineRule="auto"/>
        <w:jc w:val="both"/>
        <w:rPr>
          <w:lang w:val="en-GB"/>
        </w:rPr>
      </w:pPr>
      <w:r w:rsidRPr="005053C3">
        <w:rPr>
          <w:lang w:val="en-GB"/>
        </w:rPr>
        <w:t xml:space="preserve">According to NCDC, 1306 FDs (and 1827 </w:t>
      </w:r>
      <w:r w:rsidR="00C73F6E">
        <w:rPr>
          <w:lang w:val="en-GB"/>
        </w:rPr>
        <w:t>FNs</w:t>
      </w:r>
      <w:r w:rsidRPr="005053C3">
        <w:rPr>
          <w:lang w:val="en-GB"/>
        </w:rPr>
        <w:t>) are working for the urban providers. The average catchment area size per one FD is 2185</w:t>
      </w:r>
      <w:r w:rsidR="00B423AB">
        <w:rPr>
          <w:lang w:val="en-GB"/>
        </w:rPr>
        <w:t>, including rural patients in the catchment aera</w:t>
      </w:r>
      <w:r w:rsidRPr="005053C3">
        <w:rPr>
          <w:lang w:val="en-GB"/>
        </w:rPr>
        <w:t xml:space="preserve">. </w:t>
      </w:r>
      <w:r w:rsidR="00590E4B">
        <w:rPr>
          <w:lang w:val="en-GB"/>
        </w:rPr>
        <w:t>T</w:t>
      </w:r>
      <w:r w:rsidRPr="005053C3">
        <w:rPr>
          <w:lang w:val="en-GB"/>
        </w:rPr>
        <w:t xml:space="preserve">here are 1289 FDs with 1557 </w:t>
      </w:r>
      <w:r w:rsidR="00C73F6E">
        <w:rPr>
          <w:lang w:val="en-GB"/>
        </w:rPr>
        <w:t>FNs</w:t>
      </w:r>
      <w:r w:rsidRPr="005053C3">
        <w:rPr>
          <w:lang w:val="en-GB"/>
        </w:rPr>
        <w:t xml:space="preserve"> working as a rural provider. The average catchment aera for rural FDs is 1234.</w:t>
      </w:r>
      <w:r w:rsidR="00402222">
        <w:rPr>
          <w:lang w:val="en-GB"/>
        </w:rPr>
        <w:t xml:space="preserve"> Figure</w:t>
      </w:r>
      <w:r w:rsidR="00322386">
        <w:rPr>
          <w:lang w:val="en-GB"/>
        </w:rPr>
        <w:t xml:space="preserve"> 1 describes the distribution of FDs by number of enrolled patients for urban and rural providers.</w:t>
      </w:r>
    </w:p>
    <w:p w14:paraId="27F37BAD" w14:textId="1A7D82F4" w:rsidR="00681EA9" w:rsidRDefault="00681EA9">
      <w:pPr>
        <w:rPr>
          <w:lang w:val="en-GB"/>
        </w:rPr>
      </w:pPr>
      <w:r>
        <w:rPr>
          <w:lang w:val="en-GB"/>
        </w:rPr>
        <w:br w:type="page"/>
      </w:r>
    </w:p>
    <w:p w14:paraId="5C159D23" w14:textId="77777777" w:rsidR="00D50BCB" w:rsidRDefault="00D50BCB" w:rsidP="002E590D">
      <w:pPr>
        <w:spacing w:after="0" w:line="240" w:lineRule="auto"/>
        <w:jc w:val="both"/>
        <w:rPr>
          <w:lang w:val="en-GB"/>
        </w:rPr>
      </w:pPr>
    </w:p>
    <w:p w14:paraId="1447BBEC" w14:textId="2BB5558C" w:rsidR="008D0808" w:rsidRDefault="008D0808" w:rsidP="002E590D">
      <w:pPr>
        <w:spacing w:after="0" w:line="240" w:lineRule="auto"/>
        <w:jc w:val="both"/>
        <w:rPr>
          <w:lang w:val="en-GB"/>
        </w:rPr>
      </w:pPr>
      <w:r>
        <w:rPr>
          <w:noProof/>
          <w:lang w:val="en-US"/>
        </w:rPr>
        <mc:AlternateContent>
          <mc:Choice Requires="cx1">
            <w:drawing>
              <wp:inline distT="0" distB="0" distL="0" distR="0" wp14:anchorId="2897C94A" wp14:editId="6DC5A024">
                <wp:extent cx="5957668" cy="2637692"/>
                <wp:effectExtent l="0" t="0" r="5080" b="10795"/>
                <wp:docPr id="3" name="Diagramm 3">
                  <a:extLst xmlns:a="http://schemas.openxmlformats.org/drawingml/2006/main">
                    <a:ext uri="{FF2B5EF4-FFF2-40B4-BE49-F238E27FC236}">
                      <a16:creationId xmlns:a16="http://schemas.microsoft.com/office/drawing/2014/main" id="{EB84B655-5FD5-48A7-85D5-920E1C1A1F07}"/>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2"/>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inline distT="0" distB="0" distL="0" distR="0" wp14:anchorId="2897C94A" wp14:editId="6DC5A024">
                <wp:extent cx="5957668" cy="2637692"/>
                <wp:effectExtent l="0" t="0" r="5080" b="10795"/>
                <wp:docPr id="3" name="Diagramm 3">
                  <a:extLst xmlns:a="http://schemas.openxmlformats.org/drawingml/2006/main">
                    <a:ext uri="{FF2B5EF4-FFF2-40B4-BE49-F238E27FC236}">
                      <a16:creationId xmlns:a16="http://schemas.microsoft.com/office/drawing/2014/main" id="{EB84B655-5FD5-48A7-85D5-920E1C1A1F07}"/>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3" name="Diagramm 3">
                          <a:extLst>
                            <a:ext uri="{FF2B5EF4-FFF2-40B4-BE49-F238E27FC236}">
                              <a16:creationId xmlns:a16="http://schemas.microsoft.com/office/drawing/2014/main" id="{EB84B655-5FD5-48A7-85D5-920E1C1A1F07}"/>
                            </a:ext>
                          </a:extLst>
                        </pic:cNvPr>
                        <pic:cNvPicPr>
                          <a:picLocks noGrp="1" noRot="1" noChangeAspect="1" noMove="1" noResize="1" noEditPoints="1" noAdjustHandles="1" noChangeArrowheads="1" noChangeShapeType="1"/>
                        </pic:cNvPicPr>
                      </pic:nvPicPr>
                      <pic:blipFill>
                        <a:blip r:embed="rId13"/>
                        <a:stretch>
                          <a:fillRect/>
                        </a:stretch>
                      </pic:blipFill>
                      <pic:spPr>
                        <a:xfrm>
                          <a:off x="0" y="0"/>
                          <a:ext cx="5957570" cy="2637155"/>
                        </a:xfrm>
                        <a:prstGeom prst="rect">
                          <a:avLst/>
                        </a:prstGeom>
                      </pic:spPr>
                    </pic:pic>
                  </a:graphicData>
                </a:graphic>
              </wp:inline>
            </w:drawing>
          </mc:Fallback>
        </mc:AlternateContent>
      </w:r>
    </w:p>
    <w:p w14:paraId="33F3CFFC" w14:textId="1F5080A6" w:rsidR="00DE15C2" w:rsidRPr="005053C3" w:rsidRDefault="006814F5" w:rsidP="002E590D">
      <w:pPr>
        <w:spacing w:after="0" w:line="240" w:lineRule="auto"/>
        <w:jc w:val="both"/>
        <w:rPr>
          <w:lang w:val="en-GB"/>
        </w:rPr>
      </w:pPr>
      <w:r>
        <w:rPr>
          <w:noProof/>
          <w:lang w:val="en-US"/>
        </w:rPr>
        <mc:AlternateContent>
          <mc:Choice Requires="cx1">
            <w:drawing>
              <wp:inline distT="0" distB="0" distL="0" distR="0" wp14:anchorId="6E64222A" wp14:editId="451A3C06">
                <wp:extent cx="5957668" cy="2715065"/>
                <wp:effectExtent l="0" t="0" r="5080" b="9525"/>
                <wp:docPr id="11" name="Diagramm 11">
                  <a:extLst xmlns:a="http://schemas.openxmlformats.org/drawingml/2006/main">
                    <a:ext uri="{FF2B5EF4-FFF2-40B4-BE49-F238E27FC236}">
                      <a16:creationId xmlns:a16="http://schemas.microsoft.com/office/drawing/2014/main" id="{13D0453B-695F-465A-9D1E-2334B032A5C6}"/>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4"/>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drawing>
              <wp:inline distT="0" distB="0" distL="0" distR="0" wp14:anchorId="6E64222A" wp14:editId="451A3C06">
                <wp:extent cx="5957668" cy="2715065"/>
                <wp:effectExtent l="0" t="0" r="5080" b="9525"/>
                <wp:docPr id="11" name="Diagramm 11">
                  <a:extLst xmlns:a="http://schemas.openxmlformats.org/drawingml/2006/main">
                    <a:ext uri="{FF2B5EF4-FFF2-40B4-BE49-F238E27FC236}">
                      <a16:creationId xmlns:a16="http://schemas.microsoft.com/office/drawing/2014/main" id="{13D0453B-695F-465A-9D1E-2334B032A5C6}"/>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1" name="Diagramm 11">
                          <a:extLst>
                            <a:ext uri="{FF2B5EF4-FFF2-40B4-BE49-F238E27FC236}">
                              <a16:creationId xmlns:a16="http://schemas.microsoft.com/office/drawing/2014/main" id="{13D0453B-695F-465A-9D1E-2334B032A5C6}"/>
                            </a:ext>
                          </a:extLst>
                        </pic:cNvPr>
                        <pic:cNvPicPr>
                          <a:picLocks noGrp="1" noRot="1" noChangeAspect="1" noMove="1" noResize="1" noEditPoints="1" noAdjustHandles="1" noChangeArrowheads="1" noChangeShapeType="1"/>
                        </pic:cNvPicPr>
                      </pic:nvPicPr>
                      <pic:blipFill>
                        <a:blip r:embed="rId15"/>
                        <a:stretch>
                          <a:fillRect/>
                        </a:stretch>
                      </pic:blipFill>
                      <pic:spPr>
                        <a:xfrm>
                          <a:off x="0" y="0"/>
                          <a:ext cx="5957570" cy="2714625"/>
                        </a:xfrm>
                        <a:prstGeom prst="rect">
                          <a:avLst/>
                        </a:prstGeom>
                      </pic:spPr>
                    </pic:pic>
                  </a:graphicData>
                </a:graphic>
              </wp:inline>
            </w:drawing>
          </mc:Fallback>
        </mc:AlternateContent>
      </w:r>
    </w:p>
    <w:p w14:paraId="1A9F4086" w14:textId="752F5ABD" w:rsidR="00D50BCB" w:rsidRDefault="00322386" w:rsidP="002E590D">
      <w:pPr>
        <w:spacing w:after="0" w:line="240" w:lineRule="auto"/>
        <w:jc w:val="both"/>
        <w:rPr>
          <w:lang w:val="en-GB"/>
        </w:rPr>
      </w:pPr>
      <w:r w:rsidRPr="00375F33">
        <w:rPr>
          <w:b/>
          <w:bCs/>
          <w:lang w:val="en-GB"/>
        </w:rPr>
        <w:t>Figure 1.</w:t>
      </w:r>
      <w:r>
        <w:rPr>
          <w:lang w:val="en-GB"/>
        </w:rPr>
        <w:t xml:space="preserve"> </w:t>
      </w:r>
      <w:r w:rsidRPr="00322386">
        <w:rPr>
          <w:lang w:val="en-GB"/>
        </w:rPr>
        <w:t xml:space="preserve">Distribution of FDs by number of enrolled patients for </w:t>
      </w:r>
      <w:r>
        <w:rPr>
          <w:lang w:val="en-GB"/>
        </w:rPr>
        <w:t>urban and rural providers</w:t>
      </w:r>
    </w:p>
    <w:p w14:paraId="230B4560" w14:textId="77777777" w:rsidR="00322386" w:rsidRPr="005053C3" w:rsidRDefault="00322386" w:rsidP="00322386">
      <w:pPr>
        <w:spacing w:after="0" w:line="240" w:lineRule="auto"/>
        <w:jc w:val="both"/>
        <w:rPr>
          <w:lang w:val="en-GB"/>
        </w:rPr>
      </w:pPr>
      <w:r>
        <w:rPr>
          <w:lang w:val="en-GB"/>
        </w:rPr>
        <w:t>*Rural patients in the catchment aera of urban providers are not considered.</w:t>
      </w:r>
    </w:p>
    <w:p w14:paraId="16324EF2" w14:textId="77777777" w:rsidR="00322386" w:rsidRDefault="00322386" w:rsidP="002E590D">
      <w:pPr>
        <w:spacing w:after="0" w:line="240" w:lineRule="auto"/>
        <w:jc w:val="both"/>
        <w:rPr>
          <w:lang w:val="en-GB"/>
        </w:rPr>
      </w:pPr>
    </w:p>
    <w:p w14:paraId="6A7B0CE0" w14:textId="7DDF9725" w:rsidR="00D50BCB" w:rsidRDefault="0024239C" w:rsidP="002E590D">
      <w:pPr>
        <w:spacing w:after="0" w:line="240" w:lineRule="auto"/>
        <w:jc w:val="both"/>
        <w:rPr>
          <w:lang w:val="en-GB"/>
        </w:rPr>
      </w:pPr>
      <w:r>
        <w:rPr>
          <w:lang w:val="en-GB"/>
        </w:rPr>
        <w:t>Rural providers patient catchment aera is smaller than for urban providers.</w:t>
      </w:r>
      <w:r w:rsidR="00375F33">
        <w:rPr>
          <w:lang w:val="en-GB"/>
        </w:rPr>
        <w:t xml:space="preserve"> About </w:t>
      </w:r>
      <w:r w:rsidR="000D64D3">
        <w:rPr>
          <w:lang w:val="en-GB"/>
        </w:rPr>
        <w:t>6</w:t>
      </w:r>
      <w:r w:rsidR="00C24A80">
        <w:rPr>
          <w:lang w:val="en-GB"/>
        </w:rPr>
        <w:t>% o</w:t>
      </w:r>
      <w:r w:rsidR="0070046B">
        <w:rPr>
          <w:lang w:val="en-GB"/>
        </w:rPr>
        <w:t>f</w:t>
      </w:r>
      <w:r w:rsidR="00C24A80">
        <w:rPr>
          <w:lang w:val="en-GB"/>
        </w:rPr>
        <w:t xml:space="preserve"> rural providers have over 2000 patients in their catchment aera </w:t>
      </w:r>
      <w:r w:rsidR="0070046B">
        <w:rPr>
          <w:lang w:val="en-GB"/>
        </w:rPr>
        <w:t>per FD and FN.</w:t>
      </w:r>
      <w:r w:rsidR="00C24A80">
        <w:rPr>
          <w:lang w:val="en-GB"/>
        </w:rPr>
        <w:t xml:space="preserve"> </w:t>
      </w:r>
      <w:r w:rsidR="00375F33">
        <w:rPr>
          <w:lang w:val="en-GB"/>
        </w:rPr>
        <w:t xml:space="preserve">About </w:t>
      </w:r>
      <w:r w:rsidR="00691400">
        <w:rPr>
          <w:lang w:val="en-GB"/>
        </w:rPr>
        <w:t>25</w:t>
      </w:r>
      <w:r w:rsidR="00C24A80">
        <w:rPr>
          <w:lang w:val="en-GB"/>
        </w:rPr>
        <w:t>% of urban providers have over 2000 persons in the catchment area</w:t>
      </w:r>
      <w:r w:rsidR="00691400">
        <w:rPr>
          <w:lang w:val="en-GB"/>
        </w:rPr>
        <w:t xml:space="preserve"> per FD and FN</w:t>
      </w:r>
      <w:r w:rsidR="00C24A80">
        <w:rPr>
          <w:lang w:val="en-GB"/>
        </w:rPr>
        <w:t>.</w:t>
      </w:r>
      <w:r w:rsidR="00E802B9">
        <w:rPr>
          <w:lang w:val="en-GB"/>
        </w:rPr>
        <w:t xml:space="preserve"> </w:t>
      </w:r>
      <w:r w:rsidR="00E802B9" w:rsidRPr="005053C3">
        <w:rPr>
          <w:lang w:val="en-GB"/>
        </w:rPr>
        <w:t>There are exceptional cases among rural and urban providers where one FD has a catchment are over 3000.</w:t>
      </w:r>
      <w:r w:rsidR="00E802B9">
        <w:rPr>
          <w:lang w:val="en-GB"/>
        </w:rPr>
        <w:t xml:space="preserve"> There are also 46 urban and 299 providers with less than 1000 patients per FD. </w:t>
      </w:r>
      <w:r w:rsidR="00E802B9" w:rsidRPr="005053C3">
        <w:rPr>
          <w:lang w:val="en-GB"/>
        </w:rPr>
        <w:t>These cases may need to be closely monitored to ensure access</w:t>
      </w:r>
      <w:r w:rsidR="00E802B9">
        <w:rPr>
          <w:lang w:val="en-GB"/>
        </w:rPr>
        <w:t>, quality and sustainability of</w:t>
      </w:r>
      <w:r w:rsidR="00E802B9" w:rsidRPr="005053C3">
        <w:rPr>
          <w:lang w:val="en-GB"/>
        </w:rPr>
        <w:t xml:space="preserve"> PHC services.</w:t>
      </w:r>
      <w:r w:rsidR="00E802B9">
        <w:rPr>
          <w:lang w:val="en-GB"/>
        </w:rPr>
        <w:t xml:space="preserve"> With patients lists over 3000 patients, there is a risk of </w:t>
      </w:r>
      <w:r w:rsidR="00244CF4">
        <w:rPr>
          <w:lang w:val="en-GB"/>
        </w:rPr>
        <w:t>un</w:t>
      </w:r>
      <w:r w:rsidR="00CE2028">
        <w:rPr>
          <w:lang w:val="en-GB"/>
        </w:rPr>
        <w:t>equal access to the service. On the opposite, with very small patient lists (under 1000)</w:t>
      </w:r>
      <w:r w:rsidR="00E42ED4">
        <w:rPr>
          <w:lang w:val="en-GB"/>
        </w:rPr>
        <w:t xml:space="preserve"> </w:t>
      </w:r>
      <w:r w:rsidR="00A76E30">
        <w:rPr>
          <w:lang w:val="en-GB"/>
        </w:rPr>
        <w:t xml:space="preserve">the sustainability of the services provided </w:t>
      </w:r>
      <w:r w:rsidR="000F4F53">
        <w:rPr>
          <w:lang w:val="en-GB"/>
        </w:rPr>
        <w:t>need</w:t>
      </w:r>
      <w:r w:rsidR="00E74E45">
        <w:rPr>
          <w:lang w:val="en-GB"/>
        </w:rPr>
        <w:t>s</w:t>
      </w:r>
      <w:r w:rsidR="000F4F53">
        <w:rPr>
          <w:lang w:val="en-GB"/>
        </w:rPr>
        <w:t xml:space="preserve"> </w:t>
      </w:r>
      <w:r w:rsidR="000369B7">
        <w:rPr>
          <w:lang w:val="en-GB"/>
        </w:rPr>
        <w:t xml:space="preserve">close monitoring. Too small patient lists in urban setting may indicate quality issues and </w:t>
      </w:r>
      <w:r w:rsidR="00900213">
        <w:rPr>
          <w:lang w:val="en-GB"/>
        </w:rPr>
        <w:t>may not be most effective resource use.</w:t>
      </w:r>
    </w:p>
    <w:p w14:paraId="05B66D8A" w14:textId="77777777" w:rsidR="006C7FBF" w:rsidRPr="005053C3" w:rsidRDefault="006C7FBF" w:rsidP="002E590D">
      <w:pPr>
        <w:spacing w:after="0" w:line="240" w:lineRule="auto"/>
        <w:jc w:val="both"/>
        <w:rPr>
          <w:lang w:val="en-GB"/>
        </w:rPr>
      </w:pPr>
    </w:p>
    <w:p w14:paraId="0BEC3949" w14:textId="2383005A" w:rsidR="00D50BCB" w:rsidRDefault="00D50BCB" w:rsidP="002E590D">
      <w:pPr>
        <w:spacing w:after="0" w:line="240" w:lineRule="auto"/>
        <w:jc w:val="both"/>
        <w:rPr>
          <w:lang w:val="en-GB"/>
        </w:rPr>
      </w:pPr>
      <w:r w:rsidRPr="005053C3">
        <w:rPr>
          <w:lang w:val="en-GB"/>
        </w:rPr>
        <w:t xml:space="preserve">The provider structure indicates that there are many providers among urban and rural who provide the services as a team of at least two FDs and have more than 1 </w:t>
      </w:r>
      <w:r w:rsidR="00C73F6E">
        <w:rPr>
          <w:lang w:val="en-GB"/>
        </w:rPr>
        <w:t>FN</w:t>
      </w:r>
      <w:r w:rsidRPr="005053C3">
        <w:rPr>
          <w:lang w:val="en-GB"/>
        </w:rPr>
        <w:t xml:space="preserve"> per FD</w:t>
      </w:r>
      <w:r w:rsidR="00816E94">
        <w:rPr>
          <w:lang w:val="en-GB"/>
        </w:rPr>
        <w:t xml:space="preserve"> (figure 2)</w:t>
      </w:r>
      <w:r w:rsidRPr="005053C3">
        <w:rPr>
          <w:lang w:val="en-GB"/>
        </w:rPr>
        <w:t>.</w:t>
      </w:r>
      <w:r w:rsidR="00964FAD">
        <w:rPr>
          <w:lang w:val="en-GB"/>
        </w:rPr>
        <w:t xml:space="preserve"> Majority of the rural providers </w:t>
      </w:r>
      <w:r w:rsidR="000F65F6">
        <w:rPr>
          <w:lang w:val="en-GB"/>
        </w:rPr>
        <w:t xml:space="preserve">(56%) </w:t>
      </w:r>
      <w:r w:rsidR="00964FAD">
        <w:rPr>
          <w:lang w:val="en-GB"/>
        </w:rPr>
        <w:t>work as single practitioner</w:t>
      </w:r>
      <w:r w:rsidR="000F65F6">
        <w:rPr>
          <w:lang w:val="en-GB"/>
        </w:rPr>
        <w:t xml:space="preserve"> and 29% as a group of two FDs.</w:t>
      </w:r>
      <w:r w:rsidR="000509A1">
        <w:rPr>
          <w:lang w:val="en-GB"/>
        </w:rPr>
        <w:t xml:space="preserve"> There are very view bigger sized</w:t>
      </w:r>
      <w:r w:rsidR="009E1F53">
        <w:rPr>
          <w:lang w:val="en-GB"/>
        </w:rPr>
        <w:t xml:space="preserve"> group practices</w:t>
      </w:r>
      <w:r w:rsidR="00736EA7">
        <w:rPr>
          <w:lang w:val="en-GB"/>
        </w:rPr>
        <w:t xml:space="preserve"> among rural providers.</w:t>
      </w:r>
      <w:r w:rsidR="00D34438">
        <w:rPr>
          <w:lang w:val="en-GB"/>
        </w:rPr>
        <w:t xml:space="preserve"> </w:t>
      </w:r>
      <w:r w:rsidR="00EC0666">
        <w:rPr>
          <w:lang w:val="en-GB"/>
        </w:rPr>
        <w:t>Compared to rural providers, t</w:t>
      </w:r>
      <w:r w:rsidR="00D34438">
        <w:rPr>
          <w:lang w:val="en-GB"/>
        </w:rPr>
        <w:t xml:space="preserve">here is a </w:t>
      </w:r>
      <w:r w:rsidR="00503877">
        <w:rPr>
          <w:lang w:val="en-GB"/>
        </w:rPr>
        <w:t>vastly</w:t>
      </w:r>
      <w:r w:rsidR="00D34438">
        <w:rPr>
          <w:lang w:val="en-GB"/>
        </w:rPr>
        <w:t xml:space="preserve"> bigger diversity in the provider structure </w:t>
      </w:r>
      <w:r w:rsidR="00E630E8">
        <w:rPr>
          <w:lang w:val="en-GB"/>
        </w:rPr>
        <w:t>among</w:t>
      </w:r>
      <w:r w:rsidR="00D34438">
        <w:rPr>
          <w:lang w:val="en-GB"/>
        </w:rPr>
        <w:t xml:space="preserve"> urban providers</w:t>
      </w:r>
      <w:r w:rsidR="00F818D4">
        <w:rPr>
          <w:lang w:val="en-GB"/>
        </w:rPr>
        <w:t xml:space="preserve">, where </w:t>
      </w:r>
      <w:r w:rsidR="00065D95">
        <w:rPr>
          <w:lang w:val="en-GB"/>
        </w:rPr>
        <w:t xml:space="preserve">19% of providers work as single practitioners and </w:t>
      </w:r>
      <w:r w:rsidR="00400974">
        <w:rPr>
          <w:lang w:val="en-GB"/>
        </w:rPr>
        <w:t>17% as a group of two FDs</w:t>
      </w:r>
      <w:r w:rsidR="00D34438">
        <w:rPr>
          <w:lang w:val="en-GB"/>
        </w:rPr>
        <w:t>.</w:t>
      </w:r>
      <w:r w:rsidR="00036969">
        <w:rPr>
          <w:lang w:val="en-GB"/>
        </w:rPr>
        <w:t xml:space="preserve"> There is also a quite high share of </w:t>
      </w:r>
      <w:r w:rsidR="00646702">
        <w:rPr>
          <w:lang w:val="en-GB"/>
        </w:rPr>
        <w:t xml:space="preserve">bigger group </w:t>
      </w:r>
      <w:r w:rsidR="00646702">
        <w:rPr>
          <w:lang w:val="en-GB"/>
        </w:rPr>
        <w:lastRenderedPageBreak/>
        <w:t xml:space="preserve">practices with at </w:t>
      </w:r>
      <w:r w:rsidR="006709D4">
        <w:rPr>
          <w:lang w:val="en-GB"/>
        </w:rPr>
        <w:t>least 8 FD</w:t>
      </w:r>
      <w:r w:rsidR="008379D8">
        <w:rPr>
          <w:lang w:val="en-GB"/>
        </w:rPr>
        <w:t>s</w:t>
      </w:r>
      <w:r w:rsidR="000D660A">
        <w:rPr>
          <w:lang w:val="en-GB"/>
        </w:rPr>
        <w:t xml:space="preserve"> (24%)</w:t>
      </w:r>
      <w:r w:rsidR="008379D8">
        <w:rPr>
          <w:lang w:val="en-GB"/>
        </w:rPr>
        <w:t>.</w:t>
      </w:r>
      <w:r w:rsidR="001346BA">
        <w:rPr>
          <w:lang w:val="en-GB"/>
        </w:rPr>
        <w:t xml:space="preserve"> 87% of urban providers report to employ also supporting staff.</w:t>
      </w:r>
      <w:r w:rsidR="00D34438">
        <w:rPr>
          <w:lang w:val="en-GB"/>
        </w:rPr>
        <w:t xml:space="preserve"> </w:t>
      </w:r>
      <w:r w:rsidRPr="005053C3">
        <w:rPr>
          <w:lang w:val="en-GB"/>
        </w:rPr>
        <w:t xml:space="preserve"> The provider structures are described in the below tables.</w:t>
      </w:r>
    </w:p>
    <w:p w14:paraId="73B14EB4" w14:textId="77777777" w:rsidR="00816E94" w:rsidRPr="005053C3" w:rsidRDefault="00816E94" w:rsidP="002E590D">
      <w:pPr>
        <w:spacing w:after="0" w:line="240" w:lineRule="auto"/>
        <w:jc w:val="both"/>
        <w:rPr>
          <w:lang w:val="en-GB"/>
        </w:rPr>
      </w:pPr>
    </w:p>
    <w:p w14:paraId="005E56AD" w14:textId="77777777" w:rsidR="00D50BCB" w:rsidRPr="005053C3" w:rsidRDefault="00D50BCB" w:rsidP="002E590D">
      <w:pPr>
        <w:spacing w:after="0" w:line="240" w:lineRule="auto"/>
        <w:jc w:val="both"/>
        <w:rPr>
          <w:lang w:val="en-GB"/>
        </w:rPr>
      </w:pPr>
      <w:r w:rsidRPr="005053C3">
        <w:rPr>
          <w:noProof/>
          <w:lang w:val="en-US"/>
        </w:rPr>
        <w:drawing>
          <wp:inline distT="0" distB="0" distL="0" distR="0" wp14:anchorId="2A514D6D" wp14:editId="64C3F069">
            <wp:extent cx="5732585" cy="2764302"/>
            <wp:effectExtent l="0" t="0" r="1905" b="17145"/>
            <wp:docPr id="5" name="Diagramm 5">
              <a:extLst xmlns:a="http://schemas.openxmlformats.org/drawingml/2006/main">
                <a:ext uri="{FF2B5EF4-FFF2-40B4-BE49-F238E27FC236}">
                  <a16:creationId xmlns:a16="http://schemas.microsoft.com/office/drawing/2014/main" id="{47512C9B-13AF-4865-BA67-690BE2D610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E2FE451" w14:textId="742534F4" w:rsidR="00D50BCB" w:rsidRDefault="00136B62" w:rsidP="002E590D">
      <w:pPr>
        <w:spacing w:after="0" w:line="240" w:lineRule="auto"/>
        <w:jc w:val="both"/>
        <w:rPr>
          <w:lang w:val="en-GB"/>
        </w:rPr>
      </w:pPr>
      <w:r>
        <w:rPr>
          <w:noProof/>
          <w:lang w:val="en-US"/>
        </w:rPr>
        <w:drawing>
          <wp:inline distT="0" distB="0" distL="0" distR="0" wp14:anchorId="7585131C" wp14:editId="766E1C0C">
            <wp:extent cx="5760720" cy="2438400"/>
            <wp:effectExtent l="0" t="0" r="11430" b="0"/>
            <wp:docPr id="12" name="Diagramm 12">
              <a:extLst xmlns:a="http://schemas.openxmlformats.org/drawingml/2006/main">
                <a:ext uri="{FF2B5EF4-FFF2-40B4-BE49-F238E27FC236}">
                  <a16:creationId xmlns:a16="http://schemas.microsoft.com/office/drawing/2014/main" id="{9C115FFC-E967-4CA8-94E5-EA49AFF837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26D69E7" w14:textId="5F2E233A" w:rsidR="00816E94" w:rsidRDefault="00816E94" w:rsidP="002E590D">
      <w:pPr>
        <w:spacing w:after="0" w:line="240" w:lineRule="auto"/>
        <w:jc w:val="both"/>
        <w:rPr>
          <w:lang w:val="en-GB"/>
        </w:rPr>
      </w:pPr>
      <w:r w:rsidRPr="002E6473">
        <w:rPr>
          <w:b/>
          <w:bCs/>
          <w:lang w:val="en-GB"/>
        </w:rPr>
        <w:t>Figure 2.</w:t>
      </w:r>
      <w:r>
        <w:rPr>
          <w:lang w:val="en-GB"/>
        </w:rPr>
        <w:t xml:space="preserve"> Provider</w:t>
      </w:r>
      <w:r w:rsidR="002E6473">
        <w:rPr>
          <w:lang w:val="en-GB"/>
        </w:rPr>
        <w:t xml:space="preserve"> structure according to employed staff among rural and urban providers</w:t>
      </w:r>
    </w:p>
    <w:p w14:paraId="5E0B3E4D" w14:textId="77777777" w:rsidR="00816E94" w:rsidRPr="005053C3" w:rsidRDefault="00816E94" w:rsidP="002E590D">
      <w:pPr>
        <w:spacing w:after="0" w:line="240" w:lineRule="auto"/>
        <w:jc w:val="both"/>
        <w:rPr>
          <w:lang w:val="en-GB"/>
        </w:rPr>
      </w:pPr>
    </w:p>
    <w:p w14:paraId="757B88AE" w14:textId="2AD9F3B6" w:rsidR="00D50BCB" w:rsidRDefault="00BC65F8" w:rsidP="002E590D">
      <w:pPr>
        <w:spacing w:after="0" w:line="240" w:lineRule="auto"/>
        <w:jc w:val="both"/>
        <w:rPr>
          <w:lang w:val="en-GB"/>
        </w:rPr>
      </w:pPr>
      <w:r w:rsidRPr="005053C3">
        <w:rPr>
          <w:lang w:val="en-GB"/>
        </w:rPr>
        <w:t>Two</w:t>
      </w:r>
      <w:r w:rsidR="008371CF">
        <w:rPr>
          <w:lang w:val="en-GB"/>
        </w:rPr>
        <w:t xml:space="preserve"> rural</w:t>
      </w:r>
      <w:r w:rsidR="00D50BCB" w:rsidRPr="005053C3">
        <w:rPr>
          <w:lang w:val="en-GB"/>
        </w:rPr>
        <w:t xml:space="preserve"> provider</w:t>
      </w:r>
      <w:r w:rsidRPr="005053C3">
        <w:rPr>
          <w:lang w:val="en-GB"/>
        </w:rPr>
        <w:t>s</w:t>
      </w:r>
      <w:r w:rsidR="00D50BCB" w:rsidRPr="005053C3">
        <w:rPr>
          <w:lang w:val="en-GB"/>
        </w:rPr>
        <w:t xml:space="preserve"> </w:t>
      </w:r>
      <w:r w:rsidR="008371CF" w:rsidRPr="005053C3">
        <w:rPr>
          <w:lang w:val="en-GB"/>
        </w:rPr>
        <w:t>ha</w:t>
      </w:r>
      <w:r w:rsidR="008371CF">
        <w:rPr>
          <w:lang w:val="en-GB"/>
        </w:rPr>
        <w:t>ve</w:t>
      </w:r>
      <w:r w:rsidR="008371CF" w:rsidRPr="005053C3">
        <w:rPr>
          <w:lang w:val="en-GB"/>
        </w:rPr>
        <w:t xml:space="preserve"> </w:t>
      </w:r>
      <w:r w:rsidR="00D50BCB" w:rsidRPr="005053C3">
        <w:rPr>
          <w:lang w:val="en-GB"/>
        </w:rPr>
        <w:t xml:space="preserve">no FD and </w:t>
      </w:r>
      <w:r w:rsidR="008371CF">
        <w:rPr>
          <w:lang w:val="en-GB"/>
        </w:rPr>
        <w:t>are</w:t>
      </w:r>
      <w:r w:rsidR="008371CF" w:rsidRPr="005053C3">
        <w:rPr>
          <w:lang w:val="en-GB"/>
        </w:rPr>
        <w:t xml:space="preserve"> </w:t>
      </w:r>
      <w:r w:rsidR="00D50BCB" w:rsidRPr="005053C3">
        <w:rPr>
          <w:lang w:val="en-GB"/>
        </w:rPr>
        <w:t xml:space="preserve">working as a </w:t>
      </w:r>
      <w:r w:rsidR="00C73F6E">
        <w:rPr>
          <w:lang w:val="en-GB"/>
        </w:rPr>
        <w:t>FN</w:t>
      </w:r>
      <w:r w:rsidR="00D50BCB" w:rsidRPr="005053C3">
        <w:rPr>
          <w:lang w:val="en-GB"/>
        </w:rPr>
        <w:t xml:space="preserve"> station.</w:t>
      </w:r>
      <w:r w:rsidR="00C55C7B" w:rsidRPr="005053C3">
        <w:rPr>
          <w:lang w:val="en-GB"/>
        </w:rPr>
        <w:t xml:space="preserve"> </w:t>
      </w:r>
      <w:r w:rsidR="00A33CE8">
        <w:rPr>
          <w:lang w:val="en-GB"/>
        </w:rPr>
        <w:t>There are no rural providers working without a nurse and t</w:t>
      </w:r>
      <w:r w:rsidR="00D50BCB" w:rsidRPr="005053C3">
        <w:rPr>
          <w:lang w:val="en-GB"/>
        </w:rPr>
        <w:t xml:space="preserve">here are 12 </w:t>
      </w:r>
      <w:r w:rsidR="00C55C7B" w:rsidRPr="005053C3">
        <w:rPr>
          <w:lang w:val="en-GB"/>
        </w:rPr>
        <w:t xml:space="preserve">urban </w:t>
      </w:r>
      <w:r w:rsidR="00D50BCB" w:rsidRPr="005053C3">
        <w:rPr>
          <w:lang w:val="en-GB"/>
        </w:rPr>
        <w:t xml:space="preserve">providers having no </w:t>
      </w:r>
      <w:r w:rsidR="00C73F6E">
        <w:rPr>
          <w:lang w:val="en-GB"/>
        </w:rPr>
        <w:t>FN</w:t>
      </w:r>
      <w:r w:rsidR="00D50BCB" w:rsidRPr="005053C3">
        <w:rPr>
          <w:lang w:val="en-GB"/>
        </w:rPr>
        <w:t xml:space="preserve"> or FD although, the data reports having over 20 thousand patients in the catchment area. There are 18 urban providers reporting to have no </w:t>
      </w:r>
      <w:r w:rsidR="00C73F6E">
        <w:rPr>
          <w:lang w:val="en-GB"/>
        </w:rPr>
        <w:t>FN</w:t>
      </w:r>
      <w:r w:rsidR="00D50BCB" w:rsidRPr="005053C3">
        <w:rPr>
          <w:lang w:val="en-GB"/>
        </w:rPr>
        <w:t xml:space="preserve">, but providing data to have other supporting staff. </w:t>
      </w:r>
      <w:r w:rsidR="00C55C7B" w:rsidRPr="005053C3">
        <w:rPr>
          <w:lang w:val="en-GB"/>
        </w:rPr>
        <w:t>T</w:t>
      </w:r>
      <w:r w:rsidR="00D50BCB" w:rsidRPr="005053C3">
        <w:rPr>
          <w:lang w:val="en-GB"/>
        </w:rPr>
        <w:t xml:space="preserve">hese discrepancies in data may need to be considered when interpreting the summary figures. Nevertheless, the data </w:t>
      </w:r>
      <w:r w:rsidR="001C224F">
        <w:rPr>
          <w:lang w:val="en-GB"/>
        </w:rPr>
        <w:t xml:space="preserve">shows </w:t>
      </w:r>
      <w:r w:rsidR="00D50BCB" w:rsidRPr="005053C3">
        <w:rPr>
          <w:lang w:val="en-GB"/>
        </w:rPr>
        <w:t xml:space="preserve">that </w:t>
      </w:r>
      <w:r w:rsidR="001346BA" w:rsidRPr="005053C3">
        <w:rPr>
          <w:lang w:val="en-GB"/>
        </w:rPr>
        <w:t>most</w:t>
      </w:r>
      <w:r w:rsidR="00D50BCB" w:rsidRPr="005053C3">
        <w:rPr>
          <w:lang w:val="en-GB"/>
        </w:rPr>
        <w:t xml:space="preserve"> </w:t>
      </w:r>
      <w:r w:rsidR="00DF1685">
        <w:rPr>
          <w:lang w:val="en-GB"/>
        </w:rPr>
        <w:t xml:space="preserve">rural </w:t>
      </w:r>
      <w:r w:rsidR="00D50BCB" w:rsidRPr="005053C3">
        <w:rPr>
          <w:lang w:val="en-GB"/>
        </w:rPr>
        <w:t xml:space="preserve">providers and </w:t>
      </w:r>
      <w:r w:rsidR="00DF1685">
        <w:rPr>
          <w:lang w:val="en-GB"/>
        </w:rPr>
        <w:t xml:space="preserve">a high share of </w:t>
      </w:r>
      <w:r w:rsidR="00D50BCB" w:rsidRPr="005053C3">
        <w:rPr>
          <w:lang w:val="en-GB"/>
        </w:rPr>
        <w:t xml:space="preserve">urban </w:t>
      </w:r>
      <w:r w:rsidR="00DF1685">
        <w:rPr>
          <w:lang w:val="en-GB"/>
        </w:rPr>
        <w:t xml:space="preserve">providers </w:t>
      </w:r>
      <w:r w:rsidR="00C55C7B" w:rsidRPr="005053C3">
        <w:rPr>
          <w:lang w:val="en-GB"/>
        </w:rPr>
        <w:t xml:space="preserve">work </w:t>
      </w:r>
      <w:r w:rsidR="00D50BCB" w:rsidRPr="005053C3">
        <w:rPr>
          <w:lang w:val="en-GB"/>
        </w:rPr>
        <w:t>as single providers or as a group of two FDs</w:t>
      </w:r>
      <w:r w:rsidR="00C55C7B" w:rsidRPr="005053C3">
        <w:rPr>
          <w:lang w:val="en-GB"/>
        </w:rPr>
        <w:t xml:space="preserve"> based on 2019 data</w:t>
      </w:r>
      <w:r w:rsidR="00D50BCB" w:rsidRPr="005053C3">
        <w:rPr>
          <w:lang w:val="en-GB"/>
        </w:rPr>
        <w:t>.</w:t>
      </w:r>
      <w:r w:rsidR="00E56A5B" w:rsidRPr="005053C3">
        <w:rPr>
          <w:lang w:val="en-GB"/>
        </w:rPr>
        <w:t xml:space="preserve"> </w:t>
      </w:r>
      <w:r w:rsidR="00C55C7B" w:rsidRPr="005053C3">
        <w:rPr>
          <w:lang w:val="en-GB"/>
        </w:rPr>
        <w:t>Nevertheless,</w:t>
      </w:r>
      <w:r w:rsidR="00D50BCB" w:rsidRPr="005053C3">
        <w:rPr>
          <w:lang w:val="en-GB"/>
        </w:rPr>
        <w:t xml:space="preserve"> this may have changed </w:t>
      </w:r>
      <w:r w:rsidR="009803F5">
        <w:rPr>
          <w:lang w:val="en-GB"/>
        </w:rPr>
        <w:t xml:space="preserve">at least in the urban setting </w:t>
      </w:r>
      <w:r w:rsidR="00D50BCB" w:rsidRPr="005053C3">
        <w:rPr>
          <w:lang w:val="en-GB"/>
        </w:rPr>
        <w:t xml:space="preserve">after the reform implemented in May 2020 to merge the providers to bigger group practices. </w:t>
      </w:r>
      <w:r w:rsidR="0090761B">
        <w:rPr>
          <w:lang w:val="en-GB"/>
        </w:rPr>
        <w:t>The</w:t>
      </w:r>
      <w:r w:rsidR="0090761B" w:rsidRPr="005053C3">
        <w:rPr>
          <w:lang w:val="en-GB"/>
        </w:rPr>
        <w:t xml:space="preserve"> </w:t>
      </w:r>
      <w:r w:rsidR="00D50BCB" w:rsidRPr="005053C3">
        <w:rPr>
          <w:lang w:val="en-GB"/>
        </w:rPr>
        <w:t xml:space="preserve">target level </w:t>
      </w:r>
      <w:r w:rsidR="0090761B">
        <w:rPr>
          <w:lang w:val="en-GB"/>
        </w:rPr>
        <w:t xml:space="preserve">was set </w:t>
      </w:r>
      <w:r w:rsidR="00D50BCB" w:rsidRPr="005053C3">
        <w:rPr>
          <w:lang w:val="en-GB"/>
        </w:rPr>
        <w:t>of minimum 10</w:t>
      </w:r>
      <w:r w:rsidR="008C6A46">
        <w:rPr>
          <w:lang w:val="en-GB"/>
        </w:rPr>
        <w:t xml:space="preserve"> </w:t>
      </w:r>
      <w:r w:rsidR="00D50BCB" w:rsidRPr="005053C3">
        <w:rPr>
          <w:lang w:val="en-GB"/>
        </w:rPr>
        <w:t xml:space="preserve">000 patients per facility </w:t>
      </w:r>
      <w:r w:rsidR="00C55C7B" w:rsidRPr="005053C3">
        <w:rPr>
          <w:lang w:val="en-GB"/>
        </w:rPr>
        <w:t>for urban providers</w:t>
      </w:r>
      <w:r w:rsidR="00D50BCB" w:rsidRPr="005053C3">
        <w:rPr>
          <w:lang w:val="en-GB"/>
        </w:rPr>
        <w:t xml:space="preserve">. </w:t>
      </w:r>
    </w:p>
    <w:p w14:paraId="76238FA3" w14:textId="77777777" w:rsidR="002E6473" w:rsidRPr="005053C3" w:rsidRDefault="002E6473" w:rsidP="002E590D">
      <w:pPr>
        <w:spacing w:after="0" w:line="240" w:lineRule="auto"/>
        <w:jc w:val="both"/>
        <w:rPr>
          <w:lang w:val="en-GB"/>
        </w:rPr>
      </w:pPr>
    </w:p>
    <w:p w14:paraId="2ACEEDFD" w14:textId="5736E19E" w:rsidR="00D50BCB" w:rsidRDefault="00D50BCB" w:rsidP="002E590D">
      <w:pPr>
        <w:spacing w:after="0" w:line="240" w:lineRule="auto"/>
        <w:jc w:val="both"/>
        <w:rPr>
          <w:lang w:val="en-GB"/>
        </w:rPr>
      </w:pPr>
      <w:r w:rsidRPr="005053C3">
        <w:rPr>
          <w:lang w:val="en-GB"/>
        </w:rPr>
        <w:t xml:space="preserve">Many </w:t>
      </w:r>
      <w:r w:rsidR="00C55C7B" w:rsidRPr="005053C3">
        <w:rPr>
          <w:lang w:val="en-GB"/>
        </w:rPr>
        <w:t xml:space="preserve">of the </w:t>
      </w:r>
      <w:r w:rsidRPr="005053C3">
        <w:rPr>
          <w:lang w:val="en-GB"/>
        </w:rPr>
        <w:t xml:space="preserve">FD have more than one </w:t>
      </w:r>
      <w:r w:rsidR="00C73F6E">
        <w:rPr>
          <w:lang w:val="en-GB"/>
        </w:rPr>
        <w:t>FN</w:t>
      </w:r>
      <w:r w:rsidRPr="005053C3">
        <w:rPr>
          <w:lang w:val="en-GB"/>
        </w:rPr>
        <w:t xml:space="preserve"> working with them.</w:t>
      </w:r>
      <w:r w:rsidR="007D3DC5">
        <w:rPr>
          <w:lang w:val="en-GB"/>
        </w:rPr>
        <w:t xml:space="preserve"> 44% of rural providers have one nurse and </w:t>
      </w:r>
      <w:r w:rsidR="00975A28">
        <w:rPr>
          <w:lang w:val="en-GB"/>
        </w:rPr>
        <w:t>29% have two nurses</w:t>
      </w:r>
      <w:r w:rsidR="000160F1">
        <w:rPr>
          <w:lang w:val="en-GB"/>
        </w:rPr>
        <w:t xml:space="preserve"> per provider.</w:t>
      </w:r>
      <w:r w:rsidR="00CA582F">
        <w:rPr>
          <w:lang w:val="en-GB"/>
        </w:rPr>
        <w:t xml:space="preserve"> </w:t>
      </w:r>
      <w:r w:rsidR="000E5E09">
        <w:rPr>
          <w:lang w:val="en-GB"/>
        </w:rPr>
        <w:t xml:space="preserve">Among the urban providers, </w:t>
      </w:r>
      <w:r w:rsidR="005F3A63">
        <w:rPr>
          <w:lang w:val="en-GB"/>
        </w:rPr>
        <w:t>19% have 1 nurse and 17% have 2 nurses. The figure for urban providers indicates that</w:t>
      </w:r>
      <w:r w:rsidR="008E5049">
        <w:rPr>
          <w:lang w:val="en-GB"/>
        </w:rPr>
        <w:t xml:space="preserve"> there are </w:t>
      </w:r>
      <w:r w:rsidR="00E74F3D">
        <w:rPr>
          <w:lang w:val="en-GB"/>
        </w:rPr>
        <w:t>more</w:t>
      </w:r>
      <w:r w:rsidR="008E5049">
        <w:rPr>
          <w:lang w:val="en-GB"/>
        </w:rPr>
        <w:t xml:space="preserve"> nurses per FD among bigger group practices.</w:t>
      </w:r>
      <w:r w:rsidR="00705598">
        <w:rPr>
          <w:lang w:val="en-GB"/>
        </w:rPr>
        <w:t xml:space="preserve"> </w:t>
      </w:r>
      <w:r w:rsidR="00D376BB">
        <w:rPr>
          <w:lang w:val="en-GB"/>
        </w:rPr>
        <w:t>On the other hand, there are less nurses per FD among s</w:t>
      </w:r>
      <w:r w:rsidR="00C650B2">
        <w:rPr>
          <w:lang w:val="en-GB"/>
        </w:rPr>
        <w:t>ingle practitioners or FDs who work in the group of 2 or 3</w:t>
      </w:r>
      <w:r w:rsidR="00AE53D6">
        <w:rPr>
          <w:lang w:val="en-GB"/>
        </w:rPr>
        <w:t>.</w:t>
      </w:r>
      <w:r w:rsidR="00705598">
        <w:rPr>
          <w:lang w:val="en-GB"/>
        </w:rPr>
        <w:t xml:space="preserve"> </w:t>
      </w:r>
      <w:r w:rsidRPr="005053C3">
        <w:rPr>
          <w:lang w:val="en-GB"/>
        </w:rPr>
        <w:t xml:space="preserve">The </w:t>
      </w:r>
      <w:r w:rsidR="00C73F6E">
        <w:rPr>
          <w:lang w:val="en-GB"/>
        </w:rPr>
        <w:t>FN</w:t>
      </w:r>
      <w:r w:rsidRPr="005053C3">
        <w:rPr>
          <w:lang w:val="en-GB"/>
        </w:rPr>
        <w:t xml:space="preserve"> and FD ratio is 1</w:t>
      </w:r>
      <w:r w:rsidR="003C5EC0">
        <w:rPr>
          <w:lang w:val="en-GB"/>
        </w:rPr>
        <w:t>.</w:t>
      </w:r>
      <w:r w:rsidRPr="005053C3">
        <w:rPr>
          <w:lang w:val="en-GB"/>
        </w:rPr>
        <w:t xml:space="preserve">4 </w:t>
      </w:r>
      <w:r w:rsidR="00C55C7B" w:rsidRPr="005053C3">
        <w:rPr>
          <w:lang w:val="en-GB"/>
        </w:rPr>
        <w:t xml:space="preserve">among urban providers </w:t>
      </w:r>
      <w:r w:rsidRPr="005053C3">
        <w:rPr>
          <w:lang w:val="en-GB"/>
        </w:rPr>
        <w:t>and 1</w:t>
      </w:r>
      <w:r w:rsidR="003C5EC0">
        <w:rPr>
          <w:lang w:val="en-GB"/>
        </w:rPr>
        <w:t>.</w:t>
      </w:r>
      <w:r w:rsidRPr="005053C3">
        <w:rPr>
          <w:lang w:val="en-GB"/>
        </w:rPr>
        <w:t>2</w:t>
      </w:r>
      <w:r w:rsidR="00C55C7B" w:rsidRPr="005053C3">
        <w:rPr>
          <w:lang w:val="en-GB"/>
        </w:rPr>
        <w:t xml:space="preserve"> among rural providers</w:t>
      </w:r>
      <w:r w:rsidRPr="005053C3">
        <w:rPr>
          <w:lang w:val="en-GB"/>
        </w:rPr>
        <w:t>.</w:t>
      </w:r>
      <w:r w:rsidR="00E56A5B" w:rsidRPr="005053C3">
        <w:rPr>
          <w:lang w:val="en-GB"/>
        </w:rPr>
        <w:t xml:space="preserve"> 25% of rural providers have more than 1 </w:t>
      </w:r>
      <w:r w:rsidR="00C73F6E">
        <w:rPr>
          <w:lang w:val="en-GB"/>
        </w:rPr>
        <w:t>FN</w:t>
      </w:r>
      <w:r w:rsidR="00E56A5B" w:rsidRPr="005053C3">
        <w:rPr>
          <w:lang w:val="en-GB"/>
        </w:rPr>
        <w:t xml:space="preserve"> per FD. 20% of rural providers have more than one </w:t>
      </w:r>
      <w:r w:rsidR="00C73F6E">
        <w:rPr>
          <w:lang w:val="en-GB"/>
        </w:rPr>
        <w:t>FN</w:t>
      </w:r>
      <w:r w:rsidR="00E56A5B" w:rsidRPr="005053C3">
        <w:rPr>
          <w:lang w:val="en-GB"/>
        </w:rPr>
        <w:t xml:space="preserve"> per </w:t>
      </w:r>
      <w:r w:rsidR="00E56A5B" w:rsidRPr="005053C3">
        <w:rPr>
          <w:lang w:val="en-GB"/>
        </w:rPr>
        <w:lastRenderedPageBreak/>
        <w:t xml:space="preserve">FD, but this data may be </w:t>
      </w:r>
      <w:r w:rsidR="00A2064E" w:rsidRPr="005053C3">
        <w:rPr>
          <w:lang w:val="en-GB"/>
        </w:rPr>
        <w:t xml:space="preserve">underestimated (some providers may have reported </w:t>
      </w:r>
      <w:r w:rsidR="00C73F6E">
        <w:rPr>
          <w:lang w:val="en-GB"/>
        </w:rPr>
        <w:t>FNs</w:t>
      </w:r>
      <w:r w:rsidR="00A2064E" w:rsidRPr="005053C3">
        <w:rPr>
          <w:lang w:val="en-GB"/>
        </w:rPr>
        <w:t xml:space="preserve"> as other supporting specialist).</w:t>
      </w:r>
      <w:r w:rsidR="00AD6244">
        <w:rPr>
          <w:lang w:val="en-GB"/>
        </w:rPr>
        <w:t>Furthermore, since the data does not take into account part time working</w:t>
      </w:r>
      <w:r w:rsidR="001C1C50">
        <w:rPr>
          <w:lang w:val="en-GB"/>
        </w:rPr>
        <w:t xml:space="preserve"> since</w:t>
      </w:r>
      <w:r w:rsidR="00347788">
        <w:rPr>
          <w:lang w:val="en-GB"/>
        </w:rPr>
        <w:t xml:space="preserve"> there is no </w:t>
      </w:r>
      <w:r w:rsidR="00536A26">
        <w:rPr>
          <w:lang w:val="en-GB"/>
        </w:rPr>
        <w:t>information</w:t>
      </w:r>
      <w:r w:rsidR="00347788">
        <w:rPr>
          <w:lang w:val="en-GB"/>
        </w:rPr>
        <w:t xml:space="preserve"> available who from the employed staff is </w:t>
      </w:r>
      <w:r w:rsidR="000A193E">
        <w:rPr>
          <w:lang w:val="en-GB"/>
        </w:rPr>
        <w:t>working full time, no underlying conclusions can be made on the provider struc</w:t>
      </w:r>
      <w:r w:rsidR="001C1C50">
        <w:rPr>
          <w:lang w:val="en-GB"/>
        </w:rPr>
        <w:t>ture.</w:t>
      </w:r>
    </w:p>
    <w:p w14:paraId="6F7A56F8" w14:textId="77777777" w:rsidR="006307A8" w:rsidRPr="005053C3" w:rsidRDefault="006307A8" w:rsidP="002E590D">
      <w:pPr>
        <w:spacing w:after="0" w:line="240" w:lineRule="auto"/>
        <w:jc w:val="both"/>
        <w:rPr>
          <w:lang w:val="en-GB"/>
        </w:rPr>
      </w:pPr>
    </w:p>
    <w:p w14:paraId="5F8CCB4A" w14:textId="27B51EDB" w:rsidR="00D50BCB" w:rsidRDefault="00D50BCB" w:rsidP="002E590D">
      <w:pPr>
        <w:spacing w:after="0" w:line="240" w:lineRule="auto"/>
        <w:jc w:val="both"/>
        <w:rPr>
          <w:lang w:val="en-GB"/>
        </w:rPr>
      </w:pPr>
      <w:r w:rsidRPr="005A4DC0">
        <w:rPr>
          <w:lang w:val="en-GB"/>
        </w:rPr>
        <w:t>According to 2019 service utilization data, the PHC providers conducted over 6</w:t>
      </w:r>
      <w:r w:rsidR="006307A8">
        <w:rPr>
          <w:lang w:val="en-GB"/>
        </w:rPr>
        <w:t>,</w:t>
      </w:r>
      <w:r w:rsidRPr="005A4DC0">
        <w:rPr>
          <w:lang w:val="en-GB"/>
        </w:rPr>
        <w:t>4 m</w:t>
      </w:r>
      <w:r w:rsidRPr="006257E2">
        <w:rPr>
          <w:lang w:val="en-GB"/>
        </w:rPr>
        <w:t>illion consultations in 2019. Out of these, 4</w:t>
      </w:r>
      <w:r w:rsidR="006307A8">
        <w:rPr>
          <w:lang w:val="en-GB"/>
        </w:rPr>
        <w:t>,</w:t>
      </w:r>
      <w:r w:rsidRPr="006257E2">
        <w:rPr>
          <w:lang w:val="en-GB"/>
        </w:rPr>
        <w:t>8 million were conducted by urban providers and 1</w:t>
      </w:r>
      <w:r w:rsidR="006307A8">
        <w:rPr>
          <w:lang w:val="en-GB"/>
        </w:rPr>
        <w:t>,</w:t>
      </w:r>
      <w:r w:rsidRPr="006257E2">
        <w:rPr>
          <w:lang w:val="en-GB"/>
        </w:rPr>
        <w:t>6 by rural providers. The average number of visits per FD differs three times among urban and rural providers by urban providers having on average 15 visits per</w:t>
      </w:r>
      <w:r w:rsidRPr="008667B5">
        <w:rPr>
          <w:lang w:val="en-GB"/>
        </w:rPr>
        <w:t xml:space="preserve"> day and rural providers 5 visits per day.</w:t>
      </w:r>
      <w:r w:rsidR="005A4DC0">
        <w:rPr>
          <w:lang w:val="en-GB"/>
        </w:rPr>
        <w:t xml:space="preserve"> This may indicate that the rural providers may not</w:t>
      </w:r>
      <w:r w:rsidR="005D7EC2">
        <w:rPr>
          <w:lang w:val="en-GB"/>
        </w:rPr>
        <w:t xml:space="preserve"> </w:t>
      </w:r>
      <w:r w:rsidR="00C66F29">
        <w:rPr>
          <w:lang w:val="en-GB"/>
        </w:rPr>
        <w:t>work full time to provide</w:t>
      </w:r>
      <w:r w:rsidR="005A4DC0">
        <w:rPr>
          <w:lang w:val="en-GB"/>
        </w:rPr>
        <w:t xml:space="preserve"> PHC services</w:t>
      </w:r>
      <w:r w:rsidR="005D7EC2">
        <w:rPr>
          <w:lang w:val="en-GB"/>
        </w:rPr>
        <w:t>.</w:t>
      </w:r>
      <w:r w:rsidR="00C66F29">
        <w:rPr>
          <w:lang w:val="en-GB"/>
        </w:rPr>
        <w:t xml:space="preserve"> Although the patient lists are smaller in rural area, 5 visits per day is a fairly</w:t>
      </w:r>
      <w:r w:rsidR="00965054">
        <w:rPr>
          <w:lang w:val="en-GB"/>
        </w:rPr>
        <w:t xml:space="preserve"> low number of consultations per day.</w:t>
      </w:r>
    </w:p>
    <w:p w14:paraId="2BCCE1E6" w14:textId="77777777" w:rsidR="006307A8" w:rsidRPr="005053C3" w:rsidRDefault="006307A8" w:rsidP="002E590D">
      <w:pPr>
        <w:spacing w:after="0" w:line="240" w:lineRule="auto"/>
        <w:jc w:val="both"/>
        <w:rPr>
          <w:lang w:val="en-GB"/>
        </w:rPr>
      </w:pPr>
    </w:p>
    <w:p w14:paraId="73542A9C" w14:textId="39FDB0C5" w:rsidR="00842A43" w:rsidRDefault="001836B3" w:rsidP="002E590D">
      <w:pPr>
        <w:spacing w:after="0" w:line="240" w:lineRule="auto"/>
        <w:jc w:val="both"/>
        <w:rPr>
          <w:lang w:val="en-GB"/>
        </w:rPr>
      </w:pPr>
      <w:r w:rsidRPr="005053C3">
        <w:rPr>
          <w:lang w:val="en-GB"/>
        </w:rPr>
        <w:t>Since the financing sources and payment methods are different for urban and rural providers, the monthly average payment per FD d</w:t>
      </w:r>
      <w:r w:rsidR="00C859BD" w:rsidRPr="005053C3">
        <w:rPr>
          <w:lang w:val="en-GB"/>
        </w:rPr>
        <w:t>iffers vastly.</w:t>
      </w:r>
      <w:r w:rsidR="00842A43">
        <w:rPr>
          <w:lang w:val="en-GB"/>
        </w:rPr>
        <w:t xml:space="preserve"> The rural providers are </w:t>
      </w:r>
      <w:r w:rsidR="00491566">
        <w:rPr>
          <w:lang w:val="en-GB"/>
        </w:rPr>
        <w:t>paid</w:t>
      </w:r>
      <w:r w:rsidR="001200E6">
        <w:rPr>
          <w:lang w:val="en-GB"/>
        </w:rPr>
        <w:t xml:space="preserve"> a</w:t>
      </w:r>
      <w:r w:rsidR="00B97CB4">
        <w:rPr>
          <w:lang w:val="en-GB"/>
        </w:rPr>
        <w:t xml:space="preserve"> </w:t>
      </w:r>
      <w:r w:rsidR="00491566">
        <w:rPr>
          <w:lang w:val="en-GB"/>
        </w:rPr>
        <w:t>lumpsum</w:t>
      </w:r>
      <w:r w:rsidR="005A4DD2">
        <w:rPr>
          <w:lang w:val="en-GB"/>
        </w:rPr>
        <w:t xml:space="preserve"> and the urban providers are </w:t>
      </w:r>
      <w:r w:rsidR="00491566">
        <w:rPr>
          <w:lang w:val="en-GB"/>
        </w:rPr>
        <w:t>paid per capita.</w:t>
      </w:r>
    </w:p>
    <w:p w14:paraId="54734909" w14:textId="77777777" w:rsidR="00036324" w:rsidRDefault="00036324" w:rsidP="002E590D">
      <w:pPr>
        <w:spacing w:after="0" w:line="240" w:lineRule="auto"/>
        <w:jc w:val="both"/>
        <w:rPr>
          <w:lang w:val="en-GB"/>
        </w:rPr>
      </w:pPr>
    </w:p>
    <w:p w14:paraId="05529883" w14:textId="6169FC0A" w:rsidR="001836B3" w:rsidRDefault="00C859BD" w:rsidP="002E590D">
      <w:pPr>
        <w:spacing w:after="0" w:line="240" w:lineRule="auto"/>
        <w:jc w:val="both"/>
        <w:rPr>
          <w:lang w:val="en-GB"/>
        </w:rPr>
      </w:pPr>
      <w:r w:rsidRPr="005053C3">
        <w:rPr>
          <w:lang w:val="en-GB"/>
        </w:rPr>
        <w:t xml:space="preserve">The </w:t>
      </w:r>
      <w:r w:rsidR="005E61BF">
        <w:rPr>
          <w:lang w:val="en-GB"/>
        </w:rPr>
        <w:t>income</w:t>
      </w:r>
      <w:r w:rsidRPr="005053C3">
        <w:rPr>
          <w:lang w:val="en-GB"/>
        </w:rPr>
        <w:t xml:space="preserve"> for rural providers depends on team composition (how many </w:t>
      </w:r>
      <w:r w:rsidR="00C73F6E">
        <w:rPr>
          <w:lang w:val="en-GB"/>
        </w:rPr>
        <w:t>FNs</w:t>
      </w:r>
      <w:r w:rsidRPr="005053C3">
        <w:rPr>
          <w:lang w:val="en-GB"/>
        </w:rPr>
        <w:t xml:space="preserve"> are working with the FD)</w:t>
      </w:r>
      <w:r w:rsidR="00E7281B">
        <w:rPr>
          <w:lang w:val="en-GB"/>
        </w:rPr>
        <w:t xml:space="preserve"> (table 3)</w:t>
      </w:r>
      <w:r w:rsidRPr="005053C3">
        <w:rPr>
          <w:lang w:val="en-GB"/>
        </w:rPr>
        <w:t xml:space="preserve">. </w:t>
      </w:r>
    </w:p>
    <w:p w14:paraId="39F6FA74" w14:textId="52F3006B" w:rsidR="00E7281B" w:rsidRDefault="00E7281B" w:rsidP="002E590D">
      <w:pPr>
        <w:spacing w:after="0" w:line="240" w:lineRule="auto"/>
        <w:jc w:val="both"/>
        <w:rPr>
          <w:lang w:val="en-GB"/>
        </w:rPr>
      </w:pPr>
    </w:p>
    <w:p w14:paraId="4F63DF43" w14:textId="3C7C293B" w:rsidR="00E7281B" w:rsidRPr="005053C3" w:rsidRDefault="00E7281B" w:rsidP="002E590D">
      <w:pPr>
        <w:spacing w:after="0" w:line="240" w:lineRule="auto"/>
        <w:jc w:val="both"/>
        <w:rPr>
          <w:lang w:val="en-GB"/>
        </w:rPr>
      </w:pPr>
      <w:r w:rsidRPr="00E7281B">
        <w:rPr>
          <w:b/>
          <w:bCs/>
          <w:lang w:val="en-GB"/>
        </w:rPr>
        <w:t>Table 3.</w:t>
      </w:r>
      <w:r>
        <w:rPr>
          <w:lang w:val="en-GB"/>
        </w:rPr>
        <w:t xml:space="preserve"> Monthly income for rural providers according to staff composition</w:t>
      </w:r>
    </w:p>
    <w:tbl>
      <w:tblPr>
        <w:tblStyle w:val="GridTable4-Accent5"/>
        <w:tblW w:w="5127" w:type="dxa"/>
        <w:tblLook w:val="04A0" w:firstRow="1" w:lastRow="0" w:firstColumn="1" w:lastColumn="0" w:noHBand="0" w:noVBand="1"/>
      </w:tblPr>
      <w:tblGrid>
        <w:gridCol w:w="1796"/>
        <w:gridCol w:w="1704"/>
        <w:gridCol w:w="1627"/>
      </w:tblGrid>
      <w:tr w:rsidR="00BF3A40" w:rsidRPr="006668A7" w14:paraId="63D031E8" w14:textId="77777777" w:rsidTr="00E7281B">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796" w:type="dxa"/>
            <w:noWrap/>
            <w:hideMark/>
          </w:tcPr>
          <w:p w14:paraId="5BE6D58F" w14:textId="06331AC6" w:rsidR="00BF3A40" w:rsidRPr="003D1533" w:rsidRDefault="00152E70" w:rsidP="002E590D">
            <w:pPr>
              <w:jc w:val="center"/>
              <w:rPr>
                <w:rFonts w:ascii="Calibri" w:eastAsia="Times New Roman" w:hAnsi="Calibri" w:cs="Times New Roman"/>
                <w:color w:val="000000"/>
                <w:sz w:val="20"/>
                <w:szCs w:val="20"/>
                <w:lang w:val="en-GB" w:eastAsia="et-EE"/>
              </w:rPr>
            </w:pPr>
            <w:r w:rsidRPr="003D1533">
              <w:rPr>
                <w:rFonts w:ascii="Calibri" w:eastAsia="Times New Roman" w:hAnsi="Calibri" w:cs="Times New Roman"/>
                <w:color w:val="000000"/>
                <w:sz w:val="20"/>
                <w:szCs w:val="20"/>
                <w:lang w:val="en-GB" w:eastAsia="et-EE"/>
              </w:rPr>
              <w:t>Rural p</w:t>
            </w:r>
            <w:r w:rsidR="00BF3A40" w:rsidRPr="003D1533">
              <w:rPr>
                <w:rFonts w:ascii="Calibri" w:eastAsia="Times New Roman" w:hAnsi="Calibri" w:cs="Times New Roman"/>
                <w:color w:val="000000"/>
                <w:sz w:val="20"/>
                <w:szCs w:val="20"/>
                <w:lang w:val="en-GB" w:eastAsia="et-EE"/>
              </w:rPr>
              <w:t>rovider structure</w:t>
            </w:r>
          </w:p>
        </w:tc>
        <w:tc>
          <w:tcPr>
            <w:tcW w:w="1704" w:type="dxa"/>
            <w:noWrap/>
            <w:hideMark/>
          </w:tcPr>
          <w:p w14:paraId="419BBFCB" w14:textId="77777777" w:rsidR="00BF3A40" w:rsidRPr="003D1533" w:rsidRDefault="00BF3A40" w:rsidP="002E59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val="en-GB" w:eastAsia="et-EE"/>
              </w:rPr>
            </w:pPr>
            <w:r w:rsidRPr="003D1533">
              <w:rPr>
                <w:rFonts w:ascii="Calibri" w:eastAsia="Times New Roman" w:hAnsi="Calibri" w:cs="Times New Roman"/>
                <w:color w:val="000000"/>
                <w:sz w:val="20"/>
                <w:szCs w:val="20"/>
                <w:lang w:val="en-GB" w:eastAsia="et-EE"/>
              </w:rPr>
              <w:t>Monthly payment</w:t>
            </w:r>
          </w:p>
        </w:tc>
        <w:tc>
          <w:tcPr>
            <w:tcW w:w="1627" w:type="dxa"/>
            <w:noWrap/>
            <w:hideMark/>
          </w:tcPr>
          <w:p w14:paraId="0F19975B" w14:textId="2DE90A85" w:rsidR="00BF3A40" w:rsidRPr="003D1533" w:rsidRDefault="00152E70" w:rsidP="002E59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val="en-GB" w:eastAsia="et-EE"/>
              </w:rPr>
            </w:pPr>
            <w:r w:rsidRPr="003D1533">
              <w:rPr>
                <w:rFonts w:ascii="Calibri" w:eastAsia="Times New Roman" w:hAnsi="Calibri" w:cs="Times New Roman"/>
                <w:color w:val="000000"/>
                <w:sz w:val="20"/>
                <w:szCs w:val="20"/>
                <w:lang w:val="en-GB" w:eastAsia="et-EE"/>
              </w:rPr>
              <w:t>Rural p</w:t>
            </w:r>
            <w:r w:rsidR="00BF3A40" w:rsidRPr="003D1533">
              <w:rPr>
                <w:rFonts w:ascii="Calibri" w:eastAsia="Times New Roman" w:hAnsi="Calibri" w:cs="Times New Roman"/>
                <w:color w:val="000000"/>
                <w:sz w:val="20"/>
                <w:szCs w:val="20"/>
                <w:lang w:val="en-GB" w:eastAsia="et-EE"/>
              </w:rPr>
              <w:t>roviders</w:t>
            </w:r>
          </w:p>
        </w:tc>
      </w:tr>
      <w:tr w:rsidR="00BF3A40" w:rsidRPr="006668A7" w14:paraId="4FFF1364" w14:textId="77777777" w:rsidTr="00E7281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796" w:type="dxa"/>
            <w:noWrap/>
            <w:hideMark/>
          </w:tcPr>
          <w:p w14:paraId="451785CB" w14:textId="17915360" w:rsidR="00BF3A40" w:rsidRPr="003D1533" w:rsidRDefault="00BF3A40" w:rsidP="002E590D">
            <w:pPr>
              <w:jc w:val="center"/>
              <w:rPr>
                <w:rFonts w:ascii="Calibri" w:eastAsia="Times New Roman" w:hAnsi="Calibri" w:cs="Times New Roman"/>
                <w:color w:val="000000"/>
                <w:sz w:val="20"/>
                <w:szCs w:val="20"/>
                <w:lang w:val="en-GB" w:eastAsia="et-EE"/>
              </w:rPr>
            </w:pPr>
            <w:r w:rsidRPr="003D1533">
              <w:rPr>
                <w:rFonts w:ascii="Calibri" w:eastAsia="Times New Roman" w:hAnsi="Calibri" w:cs="Times New Roman"/>
                <w:color w:val="000000"/>
                <w:sz w:val="20"/>
                <w:szCs w:val="20"/>
                <w:lang w:val="en-GB" w:eastAsia="et-EE"/>
              </w:rPr>
              <w:t xml:space="preserve">1 FD 1 </w:t>
            </w:r>
            <w:r w:rsidR="00C73F6E" w:rsidRPr="003D1533">
              <w:rPr>
                <w:rFonts w:ascii="Calibri" w:eastAsia="Times New Roman" w:hAnsi="Calibri" w:cs="Times New Roman"/>
                <w:color w:val="000000"/>
                <w:sz w:val="20"/>
                <w:szCs w:val="20"/>
                <w:lang w:val="en-GB" w:eastAsia="et-EE"/>
              </w:rPr>
              <w:t>FN</w:t>
            </w:r>
          </w:p>
        </w:tc>
        <w:tc>
          <w:tcPr>
            <w:tcW w:w="1704" w:type="dxa"/>
            <w:noWrap/>
            <w:hideMark/>
          </w:tcPr>
          <w:p w14:paraId="3274A7E5" w14:textId="77777777" w:rsidR="00BF3A40" w:rsidRPr="003D1533" w:rsidRDefault="00BF3A40"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val="en-GB" w:eastAsia="et-EE"/>
              </w:rPr>
            </w:pPr>
            <w:r w:rsidRPr="003D1533">
              <w:rPr>
                <w:rFonts w:ascii="Calibri" w:eastAsia="Times New Roman" w:hAnsi="Calibri" w:cs="Times New Roman"/>
                <w:color w:val="000000"/>
                <w:sz w:val="20"/>
                <w:szCs w:val="20"/>
                <w:lang w:val="en-GB" w:eastAsia="et-EE"/>
              </w:rPr>
              <w:t>1305</w:t>
            </w:r>
          </w:p>
        </w:tc>
        <w:tc>
          <w:tcPr>
            <w:tcW w:w="1627" w:type="dxa"/>
            <w:noWrap/>
            <w:hideMark/>
          </w:tcPr>
          <w:p w14:paraId="4059CC4A" w14:textId="77777777" w:rsidR="00BF3A40" w:rsidRPr="003D1533" w:rsidRDefault="00BF3A40"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val="en-GB" w:eastAsia="et-EE"/>
              </w:rPr>
            </w:pPr>
            <w:r w:rsidRPr="003D1533">
              <w:rPr>
                <w:rFonts w:ascii="Calibri" w:eastAsia="Times New Roman" w:hAnsi="Calibri" w:cs="Times New Roman"/>
                <w:color w:val="000000"/>
                <w:sz w:val="20"/>
                <w:szCs w:val="20"/>
                <w:lang w:val="en-GB" w:eastAsia="et-EE"/>
              </w:rPr>
              <w:t>602</w:t>
            </w:r>
          </w:p>
        </w:tc>
      </w:tr>
      <w:tr w:rsidR="00BF3A40" w:rsidRPr="006668A7" w14:paraId="27370093" w14:textId="77777777" w:rsidTr="00E7281B">
        <w:trPr>
          <w:trHeight w:val="247"/>
        </w:trPr>
        <w:tc>
          <w:tcPr>
            <w:cnfStyle w:val="001000000000" w:firstRow="0" w:lastRow="0" w:firstColumn="1" w:lastColumn="0" w:oddVBand="0" w:evenVBand="0" w:oddHBand="0" w:evenHBand="0" w:firstRowFirstColumn="0" w:firstRowLastColumn="0" w:lastRowFirstColumn="0" w:lastRowLastColumn="0"/>
            <w:tcW w:w="1796" w:type="dxa"/>
            <w:noWrap/>
            <w:hideMark/>
          </w:tcPr>
          <w:p w14:paraId="0797BB5F" w14:textId="0A33C2FE" w:rsidR="00BF3A40" w:rsidRPr="003D1533" w:rsidRDefault="00BF3A40" w:rsidP="002E590D">
            <w:pPr>
              <w:jc w:val="center"/>
              <w:rPr>
                <w:rFonts w:ascii="Calibri" w:eastAsia="Times New Roman" w:hAnsi="Calibri" w:cs="Times New Roman"/>
                <w:color w:val="000000"/>
                <w:sz w:val="20"/>
                <w:szCs w:val="20"/>
                <w:lang w:val="en-GB" w:eastAsia="et-EE"/>
              </w:rPr>
            </w:pPr>
            <w:r w:rsidRPr="003D1533">
              <w:rPr>
                <w:rFonts w:ascii="Calibri" w:eastAsia="Times New Roman" w:hAnsi="Calibri" w:cs="Times New Roman"/>
                <w:color w:val="000000"/>
                <w:sz w:val="20"/>
                <w:szCs w:val="20"/>
                <w:lang w:val="en-GB" w:eastAsia="et-EE"/>
              </w:rPr>
              <w:t xml:space="preserve">1 FD 2 </w:t>
            </w:r>
            <w:r w:rsidR="00C73F6E" w:rsidRPr="003D1533">
              <w:rPr>
                <w:rFonts w:ascii="Calibri" w:eastAsia="Times New Roman" w:hAnsi="Calibri" w:cs="Times New Roman"/>
                <w:color w:val="000000"/>
                <w:sz w:val="20"/>
                <w:szCs w:val="20"/>
                <w:lang w:val="en-GB" w:eastAsia="et-EE"/>
              </w:rPr>
              <w:t>FN</w:t>
            </w:r>
          </w:p>
        </w:tc>
        <w:tc>
          <w:tcPr>
            <w:tcW w:w="1704" w:type="dxa"/>
            <w:noWrap/>
            <w:hideMark/>
          </w:tcPr>
          <w:p w14:paraId="62FBEF65" w14:textId="77777777" w:rsidR="00BF3A40" w:rsidRPr="003D1533" w:rsidRDefault="00BF3A40"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val="en-GB" w:eastAsia="et-EE"/>
              </w:rPr>
            </w:pPr>
            <w:r w:rsidRPr="003D1533">
              <w:rPr>
                <w:rFonts w:ascii="Calibri" w:eastAsia="Times New Roman" w:hAnsi="Calibri" w:cs="Times New Roman"/>
                <w:color w:val="000000"/>
                <w:sz w:val="20"/>
                <w:szCs w:val="20"/>
                <w:lang w:val="en-GB" w:eastAsia="et-EE"/>
              </w:rPr>
              <w:t>1860</w:t>
            </w:r>
          </w:p>
        </w:tc>
        <w:tc>
          <w:tcPr>
            <w:tcW w:w="1627" w:type="dxa"/>
            <w:noWrap/>
            <w:hideMark/>
          </w:tcPr>
          <w:p w14:paraId="761BE542" w14:textId="77777777" w:rsidR="00BF3A40" w:rsidRPr="003D1533" w:rsidRDefault="00BF3A40"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val="en-GB" w:eastAsia="et-EE"/>
              </w:rPr>
            </w:pPr>
            <w:r w:rsidRPr="003D1533">
              <w:rPr>
                <w:rFonts w:ascii="Calibri" w:eastAsia="Times New Roman" w:hAnsi="Calibri" w:cs="Times New Roman"/>
                <w:color w:val="000000"/>
                <w:sz w:val="20"/>
                <w:szCs w:val="20"/>
                <w:lang w:val="en-GB" w:eastAsia="et-EE"/>
              </w:rPr>
              <w:t>71</w:t>
            </w:r>
          </w:p>
        </w:tc>
      </w:tr>
      <w:tr w:rsidR="00BF3A40" w:rsidRPr="006668A7" w14:paraId="3BCAC0C7" w14:textId="77777777" w:rsidTr="00E7281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796" w:type="dxa"/>
            <w:noWrap/>
            <w:hideMark/>
          </w:tcPr>
          <w:p w14:paraId="041DDAF4" w14:textId="1223DD00" w:rsidR="00BF3A40" w:rsidRPr="003D1533" w:rsidRDefault="00BF3A40" w:rsidP="002E590D">
            <w:pPr>
              <w:jc w:val="center"/>
              <w:rPr>
                <w:rFonts w:ascii="Calibri" w:eastAsia="Times New Roman" w:hAnsi="Calibri" w:cs="Times New Roman"/>
                <w:color w:val="000000"/>
                <w:sz w:val="20"/>
                <w:szCs w:val="20"/>
                <w:lang w:val="en-GB" w:eastAsia="et-EE"/>
              </w:rPr>
            </w:pPr>
            <w:r w:rsidRPr="003D1533">
              <w:rPr>
                <w:rFonts w:ascii="Calibri" w:eastAsia="Times New Roman" w:hAnsi="Calibri" w:cs="Times New Roman"/>
                <w:color w:val="000000"/>
                <w:sz w:val="20"/>
                <w:szCs w:val="20"/>
                <w:lang w:val="en-GB" w:eastAsia="et-EE"/>
              </w:rPr>
              <w:t xml:space="preserve">1 FD 3 </w:t>
            </w:r>
            <w:r w:rsidR="00C73F6E" w:rsidRPr="003D1533">
              <w:rPr>
                <w:rFonts w:ascii="Calibri" w:eastAsia="Times New Roman" w:hAnsi="Calibri" w:cs="Times New Roman"/>
                <w:color w:val="000000"/>
                <w:sz w:val="20"/>
                <w:szCs w:val="20"/>
                <w:lang w:val="en-GB" w:eastAsia="et-EE"/>
              </w:rPr>
              <w:t>FN</w:t>
            </w:r>
          </w:p>
        </w:tc>
        <w:tc>
          <w:tcPr>
            <w:tcW w:w="1704" w:type="dxa"/>
            <w:noWrap/>
            <w:hideMark/>
          </w:tcPr>
          <w:p w14:paraId="08656410" w14:textId="77777777" w:rsidR="00BF3A40" w:rsidRPr="003D1533" w:rsidRDefault="00BF3A40"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val="en-GB" w:eastAsia="et-EE"/>
              </w:rPr>
            </w:pPr>
            <w:r w:rsidRPr="003D1533">
              <w:rPr>
                <w:rFonts w:ascii="Calibri" w:eastAsia="Times New Roman" w:hAnsi="Calibri" w:cs="Times New Roman"/>
                <w:color w:val="000000"/>
                <w:sz w:val="20"/>
                <w:szCs w:val="20"/>
                <w:lang w:val="en-GB" w:eastAsia="et-EE"/>
              </w:rPr>
              <w:t>2415</w:t>
            </w:r>
          </w:p>
        </w:tc>
        <w:tc>
          <w:tcPr>
            <w:tcW w:w="1627" w:type="dxa"/>
            <w:noWrap/>
            <w:hideMark/>
          </w:tcPr>
          <w:p w14:paraId="34BC6DBD" w14:textId="77777777" w:rsidR="00BF3A40" w:rsidRPr="003D1533" w:rsidRDefault="00BF3A40"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val="en-GB" w:eastAsia="et-EE"/>
              </w:rPr>
            </w:pPr>
            <w:r w:rsidRPr="003D1533">
              <w:rPr>
                <w:rFonts w:ascii="Calibri" w:eastAsia="Times New Roman" w:hAnsi="Calibri" w:cs="Times New Roman"/>
                <w:color w:val="000000"/>
                <w:sz w:val="20"/>
                <w:szCs w:val="20"/>
                <w:lang w:val="en-GB" w:eastAsia="et-EE"/>
              </w:rPr>
              <w:t>29</w:t>
            </w:r>
          </w:p>
        </w:tc>
      </w:tr>
      <w:tr w:rsidR="00BF3A40" w:rsidRPr="006668A7" w14:paraId="54C6CBB1" w14:textId="77777777" w:rsidTr="00E7281B">
        <w:trPr>
          <w:trHeight w:val="247"/>
        </w:trPr>
        <w:tc>
          <w:tcPr>
            <w:cnfStyle w:val="001000000000" w:firstRow="0" w:lastRow="0" w:firstColumn="1" w:lastColumn="0" w:oddVBand="0" w:evenVBand="0" w:oddHBand="0" w:evenHBand="0" w:firstRowFirstColumn="0" w:firstRowLastColumn="0" w:lastRowFirstColumn="0" w:lastRowLastColumn="0"/>
            <w:tcW w:w="1796" w:type="dxa"/>
            <w:noWrap/>
            <w:hideMark/>
          </w:tcPr>
          <w:p w14:paraId="6C527951" w14:textId="1C2C36C2" w:rsidR="00BF3A40" w:rsidRPr="003D1533" w:rsidRDefault="00BF3A40" w:rsidP="002E590D">
            <w:pPr>
              <w:jc w:val="center"/>
              <w:rPr>
                <w:rFonts w:ascii="Calibri" w:eastAsia="Times New Roman" w:hAnsi="Calibri" w:cs="Times New Roman"/>
                <w:color w:val="000000"/>
                <w:sz w:val="20"/>
                <w:szCs w:val="20"/>
                <w:lang w:val="en-GB" w:eastAsia="et-EE"/>
              </w:rPr>
            </w:pPr>
            <w:r w:rsidRPr="003D1533">
              <w:rPr>
                <w:rFonts w:ascii="Calibri" w:eastAsia="Times New Roman" w:hAnsi="Calibri" w:cs="Times New Roman"/>
                <w:color w:val="000000"/>
                <w:sz w:val="20"/>
                <w:szCs w:val="20"/>
                <w:lang w:val="en-GB" w:eastAsia="et-EE"/>
              </w:rPr>
              <w:t xml:space="preserve">1 FD 4 </w:t>
            </w:r>
            <w:r w:rsidR="00C73F6E" w:rsidRPr="003D1533">
              <w:rPr>
                <w:rFonts w:ascii="Calibri" w:eastAsia="Times New Roman" w:hAnsi="Calibri" w:cs="Times New Roman"/>
                <w:color w:val="000000"/>
                <w:sz w:val="20"/>
                <w:szCs w:val="20"/>
                <w:lang w:val="en-GB" w:eastAsia="et-EE"/>
              </w:rPr>
              <w:t>FN</w:t>
            </w:r>
          </w:p>
        </w:tc>
        <w:tc>
          <w:tcPr>
            <w:tcW w:w="1704" w:type="dxa"/>
            <w:noWrap/>
            <w:hideMark/>
          </w:tcPr>
          <w:p w14:paraId="33050F43" w14:textId="77777777" w:rsidR="00BF3A40" w:rsidRPr="003D1533" w:rsidRDefault="00BF3A40"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val="en-GB" w:eastAsia="et-EE"/>
              </w:rPr>
            </w:pPr>
            <w:r w:rsidRPr="003D1533">
              <w:rPr>
                <w:rFonts w:ascii="Calibri" w:eastAsia="Times New Roman" w:hAnsi="Calibri" w:cs="Times New Roman"/>
                <w:color w:val="000000"/>
                <w:sz w:val="20"/>
                <w:szCs w:val="20"/>
                <w:lang w:val="en-GB" w:eastAsia="et-EE"/>
              </w:rPr>
              <w:t>2970</w:t>
            </w:r>
          </w:p>
        </w:tc>
        <w:tc>
          <w:tcPr>
            <w:tcW w:w="1627" w:type="dxa"/>
            <w:noWrap/>
            <w:hideMark/>
          </w:tcPr>
          <w:p w14:paraId="64275A79" w14:textId="77777777" w:rsidR="00BF3A40" w:rsidRPr="003D1533" w:rsidRDefault="00BF3A40"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val="en-GB" w:eastAsia="et-EE"/>
              </w:rPr>
            </w:pPr>
            <w:r w:rsidRPr="003D1533">
              <w:rPr>
                <w:rFonts w:ascii="Calibri" w:eastAsia="Times New Roman" w:hAnsi="Calibri" w:cs="Times New Roman"/>
                <w:color w:val="000000"/>
                <w:sz w:val="20"/>
                <w:szCs w:val="20"/>
                <w:lang w:val="en-GB" w:eastAsia="et-EE"/>
              </w:rPr>
              <w:t>7</w:t>
            </w:r>
          </w:p>
        </w:tc>
      </w:tr>
      <w:tr w:rsidR="00BF3A40" w:rsidRPr="006668A7" w14:paraId="5AA4F279" w14:textId="77777777" w:rsidTr="00E7281B">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796" w:type="dxa"/>
            <w:noWrap/>
            <w:hideMark/>
          </w:tcPr>
          <w:p w14:paraId="6981292E" w14:textId="3D3F1792" w:rsidR="00BF3A40" w:rsidRPr="003D1533" w:rsidRDefault="00BF3A40" w:rsidP="002E590D">
            <w:pPr>
              <w:jc w:val="center"/>
              <w:rPr>
                <w:rFonts w:ascii="Calibri" w:eastAsia="Times New Roman" w:hAnsi="Calibri" w:cs="Times New Roman"/>
                <w:color w:val="000000"/>
                <w:sz w:val="20"/>
                <w:szCs w:val="20"/>
                <w:lang w:val="en-GB" w:eastAsia="et-EE"/>
              </w:rPr>
            </w:pPr>
            <w:r w:rsidRPr="003D1533">
              <w:rPr>
                <w:rFonts w:ascii="Calibri" w:eastAsia="Times New Roman" w:hAnsi="Calibri" w:cs="Times New Roman"/>
                <w:color w:val="000000"/>
                <w:sz w:val="20"/>
                <w:szCs w:val="20"/>
                <w:lang w:val="en-GB" w:eastAsia="et-EE"/>
              </w:rPr>
              <w:t xml:space="preserve">0 FD 1 </w:t>
            </w:r>
            <w:r w:rsidR="00C73F6E" w:rsidRPr="003D1533">
              <w:rPr>
                <w:rFonts w:ascii="Calibri" w:eastAsia="Times New Roman" w:hAnsi="Calibri" w:cs="Times New Roman"/>
                <w:color w:val="000000"/>
                <w:sz w:val="20"/>
                <w:szCs w:val="20"/>
                <w:lang w:val="en-GB" w:eastAsia="et-EE"/>
              </w:rPr>
              <w:t>FN</w:t>
            </w:r>
          </w:p>
        </w:tc>
        <w:tc>
          <w:tcPr>
            <w:tcW w:w="1704" w:type="dxa"/>
            <w:noWrap/>
            <w:hideMark/>
          </w:tcPr>
          <w:p w14:paraId="1B15A86C" w14:textId="77777777" w:rsidR="00BF3A40" w:rsidRPr="003D1533" w:rsidRDefault="00BF3A40"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val="en-GB" w:eastAsia="et-EE"/>
              </w:rPr>
            </w:pPr>
            <w:r w:rsidRPr="003D1533">
              <w:rPr>
                <w:rFonts w:ascii="Calibri" w:eastAsia="Times New Roman" w:hAnsi="Calibri" w:cs="Times New Roman"/>
                <w:color w:val="000000"/>
                <w:sz w:val="20"/>
                <w:szCs w:val="20"/>
                <w:lang w:val="en-GB" w:eastAsia="et-EE"/>
              </w:rPr>
              <w:t>555</w:t>
            </w:r>
          </w:p>
        </w:tc>
        <w:tc>
          <w:tcPr>
            <w:tcW w:w="1627" w:type="dxa"/>
            <w:noWrap/>
            <w:hideMark/>
          </w:tcPr>
          <w:p w14:paraId="28EB017D" w14:textId="77777777" w:rsidR="00BF3A40" w:rsidRPr="003D1533" w:rsidRDefault="00BF3A40"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val="en-GB" w:eastAsia="et-EE"/>
              </w:rPr>
            </w:pPr>
            <w:r w:rsidRPr="003D1533">
              <w:rPr>
                <w:rFonts w:ascii="Calibri" w:eastAsia="Times New Roman" w:hAnsi="Calibri" w:cs="Times New Roman"/>
                <w:color w:val="000000"/>
                <w:sz w:val="20"/>
                <w:szCs w:val="20"/>
                <w:lang w:val="en-GB" w:eastAsia="et-EE"/>
              </w:rPr>
              <w:t>2</w:t>
            </w:r>
          </w:p>
        </w:tc>
      </w:tr>
      <w:tr w:rsidR="00BF3A40" w:rsidRPr="006668A7" w14:paraId="7A585B0D" w14:textId="77777777" w:rsidTr="00E7281B">
        <w:trPr>
          <w:trHeight w:val="247"/>
        </w:trPr>
        <w:tc>
          <w:tcPr>
            <w:cnfStyle w:val="001000000000" w:firstRow="0" w:lastRow="0" w:firstColumn="1" w:lastColumn="0" w:oddVBand="0" w:evenVBand="0" w:oddHBand="0" w:evenHBand="0" w:firstRowFirstColumn="0" w:firstRowLastColumn="0" w:lastRowFirstColumn="0" w:lastRowLastColumn="0"/>
            <w:tcW w:w="1796" w:type="dxa"/>
            <w:noWrap/>
            <w:hideMark/>
          </w:tcPr>
          <w:p w14:paraId="04F6F28A" w14:textId="77777777" w:rsidR="00BF3A40" w:rsidRPr="003D1533" w:rsidRDefault="00BF3A40" w:rsidP="002E590D">
            <w:pPr>
              <w:jc w:val="center"/>
              <w:rPr>
                <w:rFonts w:ascii="Calibri" w:eastAsia="Times New Roman" w:hAnsi="Calibri" w:cs="Times New Roman"/>
                <w:color w:val="000000"/>
                <w:sz w:val="20"/>
                <w:szCs w:val="20"/>
                <w:lang w:val="en-GB" w:eastAsia="et-EE"/>
              </w:rPr>
            </w:pPr>
            <w:r w:rsidRPr="003D1533">
              <w:rPr>
                <w:rFonts w:ascii="Calibri" w:eastAsia="Times New Roman" w:hAnsi="Calibri" w:cs="Times New Roman"/>
                <w:color w:val="000000"/>
                <w:sz w:val="20"/>
                <w:szCs w:val="20"/>
                <w:lang w:val="en-GB" w:eastAsia="et-EE"/>
              </w:rPr>
              <w:t>other</w:t>
            </w:r>
          </w:p>
        </w:tc>
        <w:tc>
          <w:tcPr>
            <w:tcW w:w="1704" w:type="dxa"/>
            <w:noWrap/>
            <w:hideMark/>
          </w:tcPr>
          <w:p w14:paraId="10C33ECD" w14:textId="766C9D41" w:rsidR="00BF3A40" w:rsidRPr="003D1533" w:rsidRDefault="00BF3A40"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val="en-GB" w:eastAsia="et-EE"/>
              </w:rPr>
            </w:pPr>
            <w:r w:rsidRPr="003D1533">
              <w:rPr>
                <w:rFonts w:ascii="Calibri" w:eastAsia="Times New Roman" w:hAnsi="Calibri" w:cs="Times New Roman"/>
                <w:color w:val="000000"/>
                <w:sz w:val="20"/>
                <w:szCs w:val="20"/>
                <w:lang w:val="en-GB" w:eastAsia="et-EE"/>
              </w:rPr>
              <w:t> </w:t>
            </w:r>
            <w:r w:rsidR="00C157DD" w:rsidRPr="003D1533">
              <w:rPr>
                <w:rFonts w:ascii="Calibri" w:eastAsia="Times New Roman" w:hAnsi="Calibri" w:cs="Times New Roman"/>
                <w:color w:val="000000"/>
                <w:sz w:val="20"/>
                <w:szCs w:val="20"/>
                <w:lang w:val="en-GB" w:eastAsia="et-EE"/>
              </w:rPr>
              <w:t>1618*</w:t>
            </w:r>
          </w:p>
        </w:tc>
        <w:tc>
          <w:tcPr>
            <w:tcW w:w="1627" w:type="dxa"/>
            <w:noWrap/>
            <w:hideMark/>
          </w:tcPr>
          <w:p w14:paraId="2D4CE776" w14:textId="77777777" w:rsidR="00BF3A40" w:rsidRPr="003D1533" w:rsidRDefault="00BF3A40"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val="en-GB" w:eastAsia="et-EE"/>
              </w:rPr>
            </w:pPr>
            <w:r w:rsidRPr="003D1533">
              <w:rPr>
                <w:rFonts w:ascii="Calibri" w:eastAsia="Times New Roman" w:hAnsi="Calibri" w:cs="Times New Roman"/>
                <w:color w:val="000000"/>
                <w:sz w:val="20"/>
                <w:szCs w:val="20"/>
                <w:lang w:val="en-GB" w:eastAsia="et-EE"/>
              </w:rPr>
              <w:t>68</w:t>
            </w:r>
          </w:p>
        </w:tc>
      </w:tr>
    </w:tbl>
    <w:p w14:paraId="2C3BBE00" w14:textId="456F37E4" w:rsidR="00B56FBE" w:rsidRDefault="00C157DD" w:rsidP="00E7281B">
      <w:pPr>
        <w:spacing w:after="0" w:line="240" w:lineRule="auto"/>
        <w:jc w:val="both"/>
        <w:rPr>
          <w:lang w:val="en-GB"/>
        </w:rPr>
      </w:pPr>
      <w:r>
        <w:rPr>
          <w:lang w:val="en-GB"/>
        </w:rPr>
        <w:t>*on average</w:t>
      </w:r>
    </w:p>
    <w:p w14:paraId="671CE2D4" w14:textId="77777777" w:rsidR="00E7281B" w:rsidRDefault="00E7281B" w:rsidP="002E590D">
      <w:pPr>
        <w:spacing w:after="0" w:line="240" w:lineRule="auto"/>
        <w:jc w:val="both"/>
        <w:rPr>
          <w:lang w:val="en-GB"/>
        </w:rPr>
      </w:pPr>
    </w:p>
    <w:p w14:paraId="17C0F729" w14:textId="491DFC39" w:rsidR="005348A3" w:rsidRDefault="00A54116" w:rsidP="002E590D">
      <w:pPr>
        <w:spacing w:after="0" w:line="240" w:lineRule="auto"/>
        <w:jc w:val="both"/>
        <w:rPr>
          <w:lang w:val="en-GB"/>
        </w:rPr>
      </w:pPr>
      <w:r>
        <w:rPr>
          <w:lang w:val="en-GB"/>
        </w:rPr>
        <w:t>Th</w:t>
      </w:r>
      <w:r w:rsidR="005348A3" w:rsidRPr="005053C3">
        <w:rPr>
          <w:lang w:val="en-GB"/>
        </w:rPr>
        <w:t xml:space="preserve">e urban </w:t>
      </w:r>
      <w:r>
        <w:rPr>
          <w:lang w:val="en-GB"/>
        </w:rPr>
        <w:t>FDs</w:t>
      </w:r>
      <w:r w:rsidR="005348A3" w:rsidRPr="005053C3">
        <w:rPr>
          <w:lang w:val="en-GB"/>
        </w:rPr>
        <w:t xml:space="preserve"> </w:t>
      </w:r>
      <w:r w:rsidR="007A519D">
        <w:rPr>
          <w:lang w:val="en-GB"/>
        </w:rPr>
        <w:t>income</w:t>
      </w:r>
      <w:r w:rsidR="005348A3" w:rsidRPr="005053C3">
        <w:rPr>
          <w:lang w:val="en-GB"/>
        </w:rPr>
        <w:t xml:space="preserve"> depends on patients in catchment area and capitation size</w:t>
      </w:r>
      <w:r w:rsidR="00567B4C">
        <w:rPr>
          <w:lang w:val="en-GB"/>
        </w:rPr>
        <w:t xml:space="preserve">. </w:t>
      </w:r>
      <w:r w:rsidR="00636522">
        <w:rPr>
          <w:lang w:val="en-GB"/>
        </w:rPr>
        <w:t xml:space="preserve">The capitation amount for urban providers is </w:t>
      </w:r>
      <w:r w:rsidR="00E425F9">
        <w:rPr>
          <w:lang w:val="en-GB"/>
        </w:rPr>
        <w:t xml:space="preserve">mostly </w:t>
      </w:r>
      <w:r w:rsidR="00C5014D">
        <w:rPr>
          <w:lang w:val="en-GB"/>
        </w:rPr>
        <w:t>1.93 GEL</w:t>
      </w:r>
      <w:r w:rsidR="00636522">
        <w:rPr>
          <w:lang w:val="en-GB"/>
        </w:rPr>
        <w:t xml:space="preserve"> monthly</w:t>
      </w:r>
      <w:r w:rsidR="005B4D00">
        <w:rPr>
          <w:lang w:val="en-GB"/>
        </w:rPr>
        <w:t xml:space="preserve"> and there is an add on for rural patients in the catchment aera</w:t>
      </w:r>
      <w:r w:rsidR="00C926BA">
        <w:rPr>
          <w:lang w:val="en-GB"/>
        </w:rPr>
        <w:t xml:space="preserve"> (although payment differs per different </w:t>
      </w:r>
      <w:r w:rsidR="00832EEA">
        <w:rPr>
          <w:lang w:val="en-GB"/>
        </w:rPr>
        <w:t>vulnerable population groups)</w:t>
      </w:r>
      <w:r w:rsidR="00636522">
        <w:rPr>
          <w:lang w:val="en-GB"/>
        </w:rPr>
        <w:t>.</w:t>
      </w:r>
    </w:p>
    <w:p w14:paraId="1E61F292" w14:textId="77777777" w:rsidR="002C0D7E" w:rsidRDefault="002C0D7E" w:rsidP="002E590D">
      <w:pPr>
        <w:spacing w:after="0" w:line="240" w:lineRule="auto"/>
        <w:jc w:val="both"/>
        <w:rPr>
          <w:lang w:val="en-GB"/>
        </w:rPr>
      </w:pPr>
    </w:p>
    <w:p w14:paraId="0B79F2CA" w14:textId="1211B594" w:rsidR="0039643C" w:rsidRDefault="008827F7" w:rsidP="002E590D">
      <w:pPr>
        <w:spacing w:after="0" w:line="240" w:lineRule="auto"/>
        <w:jc w:val="both"/>
        <w:rPr>
          <w:lang w:val="en-GB"/>
        </w:rPr>
      </w:pPr>
      <w:r>
        <w:rPr>
          <w:lang w:val="en-GB"/>
        </w:rPr>
        <w:t>T</w:t>
      </w:r>
      <w:r w:rsidR="00B56FBE">
        <w:rPr>
          <w:lang w:val="en-GB"/>
        </w:rPr>
        <w:t xml:space="preserve">he average </w:t>
      </w:r>
      <w:r>
        <w:rPr>
          <w:lang w:val="en-GB"/>
        </w:rPr>
        <w:t xml:space="preserve">payment calculations are </w:t>
      </w:r>
      <w:r w:rsidR="0023360E">
        <w:rPr>
          <w:lang w:val="en-GB"/>
        </w:rPr>
        <w:t xml:space="preserve">based on the information collected on 2020 budget for rural and urban providers, the </w:t>
      </w:r>
      <w:r w:rsidR="00A066D4">
        <w:rPr>
          <w:lang w:val="en-GB"/>
        </w:rPr>
        <w:t xml:space="preserve">average per capita amount on monthly basis for rural providers is </w:t>
      </w:r>
      <w:r w:rsidR="00C5014D">
        <w:rPr>
          <w:lang w:val="en-GB"/>
        </w:rPr>
        <w:t>1.15 GEL</w:t>
      </w:r>
      <w:r w:rsidR="00B56FBE">
        <w:rPr>
          <w:lang w:val="en-GB"/>
        </w:rPr>
        <w:t xml:space="preserve"> and for urban providers it is </w:t>
      </w:r>
      <w:r w:rsidR="00914827">
        <w:rPr>
          <w:lang w:val="en-GB"/>
        </w:rPr>
        <w:t>1</w:t>
      </w:r>
      <w:r w:rsidR="00C5014D">
        <w:rPr>
          <w:lang w:val="en-GB"/>
        </w:rPr>
        <w:t>.</w:t>
      </w:r>
      <w:r w:rsidR="00914827">
        <w:rPr>
          <w:lang w:val="en-GB"/>
        </w:rPr>
        <w:t>68</w:t>
      </w:r>
      <w:r w:rsidR="00962B0D">
        <w:rPr>
          <w:lang w:val="en-GB"/>
        </w:rPr>
        <w:t xml:space="preserve"> GEL</w:t>
      </w:r>
      <w:r w:rsidR="00664294">
        <w:rPr>
          <w:rStyle w:val="FootnoteReference"/>
          <w:lang w:val="en-GB"/>
        </w:rPr>
        <w:footnoteReference w:id="2"/>
      </w:r>
      <w:r w:rsidR="00B56FBE">
        <w:rPr>
          <w:lang w:val="en-GB"/>
        </w:rPr>
        <w:t>.</w:t>
      </w:r>
      <w:r w:rsidR="00712F8C">
        <w:rPr>
          <w:lang w:val="en-GB"/>
        </w:rPr>
        <w:t xml:space="preserve"> This means that urban providers </w:t>
      </w:r>
      <w:r w:rsidR="005B598C">
        <w:rPr>
          <w:lang w:val="en-GB"/>
        </w:rPr>
        <w:t xml:space="preserve">funding is </w:t>
      </w:r>
      <w:r w:rsidR="003F594F">
        <w:rPr>
          <w:lang w:val="en-GB"/>
        </w:rPr>
        <w:t>about</w:t>
      </w:r>
      <w:r w:rsidR="0074528D">
        <w:rPr>
          <w:lang w:val="en-GB"/>
        </w:rPr>
        <w:t xml:space="preserve"> 30%</w:t>
      </w:r>
      <w:r w:rsidR="00C926BA">
        <w:rPr>
          <w:lang w:val="en-GB"/>
        </w:rPr>
        <w:t xml:space="preserve"> higher</w:t>
      </w:r>
      <w:r w:rsidR="005B598C">
        <w:rPr>
          <w:lang w:val="en-GB"/>
        </w:rPr>
        <w:t xml:space="preserve"> </w:t>
      </w:r>
      <w:r w:rsidR="00664294">
        <w:rPr>
          <w:lang w:val="en-GB"/>
        </w:rPr>
        <w:t xml:space="preserve">per enrolled patient compared to rural providers. </w:t>
      </w:r>
      <w:r w:rsidR="00F64C80">
        <w:rPr>
          <w:lang w:val="en-GB"/>
        </w:rPr>
        <w:t>This is also in</w:t>
      </w:r>
      <w:r w:rsidR="007C5427">
        <w:rPr>
          <w:lang w:val="en-GB"/>
        </w:rPr>
        <w:t>d</w:t>
      </w:r>
      <w:r w:rsidR="00F64C80">
        <w:rPr>
          <w:lang w:val="en-GB"/>
        </w:rPr>
        <w:t>icated by the following table</w:t>
      </w:r>
      <w:r w:rsidR="0076121A">
        <w:rPr>
          <w:lang w:val="en-GB"/>
        </w:rPr>
        <w:t xml:space="preserve"> 4</w:t>
      </w:r>
      <w:r w:rsidR="00F64C80">
        <w:rPr>
          <w:lang w:val="en-GB"/>
        </w:rPr>
        <w:t xml:space="preserve"> that </w:t>
      </w:r>
      <w:r w:rsidR="008F417A">
        <w:rPr>
          <w:lang w:val="en-GB"/>
        </w:rPr>
        <w:t>shows</w:t>
      </w:r>
      <w:r w:rsidR="00F64C80">
        <w:rPr>
          <w:lang w:val="en-GB"/>
        </w:rPr>
        <w:t xml:space="preserve"> average monthly payment</w:t>
      </w:r>
      <w:r w:rsidR="00ED0EEC">
        <w:rPr>
          <w:lang w:val="en-GB"/>
        </w:rPr>
        <w:t xml:space="preserve"> range</w:t>
      </w:r>
      <w:r w:rsidR="007C5427">
        <w:rPr>
          <w:lang w:val="en-GB"/>
        </w:rPr>
        <w:t xml:space="preserve"> per FD </w:t>
      </w:r>
      <w:r w:rsidR="00C119F6">
        <w:rPr>
          <w:lang w:val="en-GB"/>
        </w:rPr>
        <w:t>among</w:t>
      </w:r>
      <w:r w:rsidR="007C5427">
        <w:rPr>
          <w:lang w:val="en-GB"/>
        </w:rPr>
        <w:t xml:space="preserve"> rural and urban </w:t>
      </w:r>
      <w:r w:rsidR="00C119F6">
        <w:rPr>
          <w:lang w:val="en-GB"/>
        </w:rPr>
        <w:t>providers.</w:t>
      </w:r>
    </w:p>
    <w:p w14:paraId="42A05669" w14:textId="363818AB" w:rsidR="003F594F" w:rsidRDefault="003F594F" w:rsidP="002E590D">
      <w:pPr>
        <w:spacing w:after="0" w:line="240" w:lineRule="auto"/>
        <w:jc w:val="both"/>
        <w:rPr>
          <w:lang w:val="en-GB"/>
        </w:rPr>
      </w:pPr>
    </w:p>
    <w:p w14:paraId="21172B12" w14:textId="0997C467" w:rsidR="0076121A" w:rsidRDefault="0076121A" w:rsidP="002E590D">
      <w:pPr>
        <w:spacing w:after="0" w:line="240" w:lineRule="auto"/>
        <w:jc w:val="both"/>
        <w:rPr>
          <w:lang w:val="en-GB"/>
        </w:rPr>
      </w:pPr>
      <w:r w:rsidRPr="00574314">
        <w:rPr>
          <w:b/>
          <w:bCs/>
          <w:lang w:val="en-GB"/>
        </w:rPr>
        <w:t>Table 4.</w:t>
      </w:r>
      <w:r>
        <w:rPr>
          <w:lang w:val="en-GB"/>
        </w:rPr>
        <w:t xml:space="preserve"> A</w:t>
      </w:r>
      <w:r w:rsidRPr="0076121A">
        <w:rPr>
          <w:lang w:val="en-GB"/>
        </w:rPr>
        <w:t>verage monthly payment range per FD among rural and urban provider</w:t>
      </w:r>
      <w:r w:rsidR="00574314">
        <w:rPr>
          <w:lang w:val="en-GB"/>
        </w:rPr>
        <w:t>s</w:t>
      </w:r>
    </w:p>
    <w:tbl>
      <w:tblPr>
        <w:tblStyle w:val="GridTable4-Accent5"/>
        <w:tblW w:w="5160" w:type="dxa"/>
        <w:tblLook w:val="04A0" w:firstRow="1" w:lastRow="0" w:firstColumn="1" w:lastColumn="0" w:noHBand="0" w:noVBand="1"/>
      </w:tblPr>
      <w:tblGrid>
        <w:gridCol w:w="2405"/>
        <w:gridCol w:w="1301"/>
        <w:gridCol w:w="1454"/>
      </w:tblGrid>
      <w:tr w:rsidR="0076121A" w:rsidRPr="00574314" w14:paraId="3B8A9120" w14:textId="77777777" w:rsidTr="0076121A">
        <w:trPr>
          <w:cnfStyle w:val="100000000000" w:firstRow="1" w:lastRow="0" w:firstColumn="0" w:lastColumn="0" w:oddVBand="0" w:evenVBand="0" w:oddHBand="0" w:evenHBand="0" w:firstRowFirstColumn="0" w:firstRowLastColumn="0" w:lastRowFirstColumn="0" w:lastRowLastColumn="0"/>
          <w:trHeight w:val="290"/>
          <w:tblHeader/>
        </w:trPr>
        <w:tc>
          <w:tcPr>
            <w:cnfStyle w:val="001000000000" w:firstRow="0" w:lastRow="0" w:firstColumn="1" w:lastColumn="0" w:oddVBand="0" w:evenVBand="0" w:oddHBand="0" w:evenHBand="0" w:firstRowFirstColumn="0" w:firstRowLastColumn="0" w:lastRowFirstColumn="0" w:lastRowLastColumn="0"/>
            <w:tcW w:w="0" w:type="dxa"/>
            <w:hideMark/>
          </w:tcPr>
          <w:p w14:paraId="0CA94F00" w14:textId="0F8D6D4A" w:rsidR="0039643C" w:rsidRPr="00574314" w:rsidRDefault="0039643C" w:rsidP="002E590D">
            <w:pPr>
              <w:jc w:val="center"/>
              <w:rPr>
                <w:rFonts w:eastAsia="Times New Roman" w:cstheme="minorHAnsi"/>
                <w:color w:val="auto"/>
                <w:sz w:val="20"/>
                <w:szCs w:val="20"/>
                <w:lang w:val="en-US" w:eastAsia="et-EE"/>
              </w:rPr>
            </w:pPr>
            <w:r w:rsidRPr="00574314">
              <w:rPr>
                <w:rFonts w:eastAsia="Times New Roman" w:cstheme="minorHAnsi"/>
                <w:color w:val="auto"/>
                <w:sz w:val="20"/>
                <w:szCs w:val="20"/>
                <w:lang w:val="en-US" w:eastAsia="et-EE"/>
              </w:rPr>
              <w:t>Monthly payment</w:t>
            </w:r>
            <w:r w:rsidR="00ED0EEC" w:rsidRPr="00574314">
              <w:rPr>
                <w:rFonts w:eastAsia="Times New Roman" w:cstheme="minorHAnsi"/>
                <w:color w:val="auto"/>
                <w:sz w:val="20"/>
                <w:szCs w:val="20"/>
                <w:lang w:val="en-US" w:eastAsia="et-EE"/>
              </w:rPr>
              <w:t xml:space="preserve"> (GEL)</w:t>
            </w:r>
          </w:p>
        </w:tc>
        <w:tc>
          <w:tcPr>
            <w:tcW w:w="0" w:type="dxa"/>
            <w:hideMark/>
          </w:tcPr>
          <w:p w14:paraId="5648753C" w14:textId="77777777" w:rsidR="0039643C" w:rsidRPr="00574314" w:rsidRDefault="0039643C" w:rsidP="002E590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US" w:eastAsia="et-EE"/>
              </w:rPr>
            </w:pPr>
            <w:r w:rsidRPr="00574314">
              <w:rPr>
                <w:rFonts w:eastAsia="Times New Roman" w:cstheme="minorHAnsi"/>
                <w:color w:val="auto"/>
                <w:sz w:val="20"/>
                <w:szCs w:val="20"/>
                <w:lang w:val="en-US" w:eastAsia="et-EE"/>
              </w:rPr>
              <w:t>Rural</w:t>
            </w:r>
          </w:p>
        </w:tc>
        <w:tc>
          <w:tcPr>
            <w:tcW w:w="0" w:type="dxa"/>
            <w:hideMark/>
          </w:tcPr>
          <w:p w14:paraId="34C66E84" w14:textId="77777777" w:rsidR="0039643C" w:rsidRPr="00574314" w:rsidRDefault="0039643C" w:rsidP="002E590D">
            <w:pPr>
              <w:jc w:val="center"/>
              <w:cnfStyle w:val="100000000000" w:firstRow="1" w:lastRow="0" w:firstColumn="0" w:lastColumn="0" w:oddVBand="0" w:evenVBand="0" w:oddHBand="0" w:evenHBand="0" w:firstRowFirstColumn="0" w:firstRowLastColumn="0" w:lastRowFirstColumn="0" w:lastRowLastColumn="0"/>
              <w:rPr>
                <w:rFonts w:eastAsia="Times New Roman" w:cstheme="minorHAnsi"/>
                <w:color w:val="auto"/>
                <w:sz w:val="20"/>
                <w:szCs w:val="20"/>
                <w:lang w:val="en-US" w:eastAsia="et-EE"/>
              </w:rPr>
            </w:pPr>
            <w:r w:rsidRPr="00574314">
              <w:rPr>
                <w:rFonts w:eastAsia="Times New Roman" w:cstheme="minorHAnsi"/>
                <w:color w:val="auto"/>
                <w:sz w:val="20"/>
                <w:szCs w:val="20"/>
                <w:lang w:val="en-US" w:eastAsia="et-EE"/>
              </w:rPr>
              <w:t>Urban</w:t>
            </w:r>
          </w:p>
        </w:tc>
      </w:tr>
      <w:tr w:rsidR="0076121A" w:rsidRPr="00574314" w14:paraId="18820897" w14:textId="77777777" w:rsidTr="007612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hideMark/>
          </w:tcPr>
          <w:p w14:paraId="4DEE43ED" w14:textId="77777777" w:rsidR="0039643C" w:rsidRPr="00574314" w:rsidRDefault="0039643C" w:rsidP="002E590D">
            <w:pPr>
              <w:jc w:val="center"/>
              <w:rPr>
                <w:rFonts w:eastAsia="Times New Roman" w:cstheme="minorHAnsi"/>
                <w:sz w:val="20"/>
                <w:szCs w:val="20"/>
                <w:lang w:val="en-US" w:eastAsia="et-EE"/>
              </w:rPr>
            </w:pPr>
            <w:r w:rsidRPr="00574314">
              <w:rPr>
                <w:rFonts w:eastAsia="Times New Roman" w:cstheme="minorHAnsi"/>
                <w:sz w:val="20"/>
                <w:szCs w:val="20"/>
                <w:lang w:val="en-US" w:eastAsia="et-EE"/>
              </w:rPr>
              <w:t>less than 1,000</w:t>
            </w:r>
          </w:p>
        </w:tc>
        <w:tc>
          <w:tcPr>
            <w:tcW w:w="0" w:type="dxa"/>
            <w:hideMark/>
          </w:tcPr>
          <w:p w14:paraId="48B0C9FE" w14:textId="77777777" w:rsidR="0039643C" w:rsidRPr="00574314" w:rsidRDefault="0039643C"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US" w:eastAsia="et-EE"/>
              </w:rPr>
            </w:pPr>
            <w:r w:rsidRPr="00574314">
              <w:rPr>
                <w:rFonts w:eastAsia="Times New Roman" w:cstheme="minorHAnsi"/>
                <w:sz w:val="20"/>
                <w:szCs w:val="20"/>
                <w:lang w:val="en-US" w:eastAsia="et-EE"/>
              </w:rPr>
              <w:t>2</w:t>
            </w:r>
          </w:p>
        </w:tc>
        <w:tc>
          <w:tcPr>
            <w:tcW w:w="0" w:type="dxa"/>
            <w:hideMark/>
          </w:tcPr>
          <w:p w14:paraId="4141E885" w14:textId="77777777" w:rsidR="0039643C" w:rsidRPr="00574314" w:rsidRDefault="0039643C"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US" w:eastAsia="et-EE"/>
              </w:rPr>
            </w:pPr>
            <w:r w:rsidRPr="00574314">
              <w:rPr>
                <w:rFonts w:eastAsia="Times New Roman" w:cstheme="minorHAnsi"/>
                <w:sz w:val="20"/>
                <w:szCs w:val="20"/>
                <w:lang w:val="en-US" w:eastAsia="et-EE"/>
              </w:rPr>
              <w:t>14</w:t>
            </w:r>
          </w:p>
        </w:tc>
      </w:tr>
      <w:tr w:rsidR="0076121A" w:rsidRPr="00574314" w14:paraId="328E9F29" w14:textId="77777777" w:rsidTr="0076121A">
        <w:trPr>
          <w:trHeight w:val="290"/>
        </w:trPr>
        <w:tc>
          <w:tcPr>
            <w:cnfStyle w:val="001000000000" w:firstRow="0" w:lastRow="0" w:firstColumn="1" w:lastColumn="0" w:oddVBand="0" w:evenVBand="0" w:oddHBand="0" w:evenHBand="0" w:firstRowFirstColumn="0" w:firstRowLastColumn="0" w:lastRowFirstColumn="0" w:lastRowLastColumn="0"/>
            <w:tcW w:w="0" w:type="dxa"/>
            <w:hideMark/>
          </w:tcPr>
          <w:p w14:paraId="4F904D44" w14:textId="77777777" w:rsidR="0039643C" w:rsidRPr="00574314" w:rsidRDefault="0039643C" w:rsidP="002E590D">
            <w:pPr>
              <w:jc w:val="center"/>
              <w:rPr>
                <w:rFonts w:eastAsia="Times New Roman" w:cstheme="minorHAnsi"/>
                <w:sz w:val="20"/>
                <w:szCs w:val="20"/>
                <w:lang w:val="en-US" w:eastAsia="et-EE"/>
              </w:rPr>
            </w:pPr>
            <w:r w:rsidRPr="00574314">
              <w:rPr>
                <w:rFonts w:eastAsia="Times New Roman" w:cstheme="minorHAnsi"/>
                <w:sz w:val="20"/>
                <w:szCs w:val="20"/>
                <w:lang w:val="en-US" w:eastAsia="et-EE"/>
              </w:rPr>
              <w:t>1,000 to 1,499</w:t>
            </w:r>
          </w:p>
        </w:tc>
        <w:tc>
          <w:tcPr>
            <w:tcW w:w="0" w:type="dxa"/>
            <w:hideMark/>
          </w:tcPr>
          <w:p w14:paraId="6DF0FD52" w14:textId="77777777" w:rsidR="0039643C" w:rsidRPr="00574314" w:rsidRDefault="0039643C" w:rsidP="002E590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eastAsia="et-EE"/>
              </w:rPr>
            </w:pPr>
            <w:r w:rsidRPr="00574314">
              <w:rPr>
                <w:rFonts w:eastAsia="Times New Roman" w:cstheme="minorHAnsi"/>
                <w:sz w:val="20"/>
                <w:szCs w:val="20"/>
                <w:lang w:val="en-US" w:eastAsia="et-EE"/>
              </w:rPr>
              <w:t>614</w:t>
            </w:r>
          </w:p>
        </w:tc>
        <w:tc>
          <w:tcPr>
            <w:tcW w:w="0" w:type="dxa"/>
            <w:hideMark/>
          </w:tcPr>
          <w:p w14:paraId="513327E7" w14:textId="77777777" w:rsidR="0039643C" w:rsidRPr="00574314" w:rsidRDefault="0039643C" w:rsidP="002E590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eastAsia="et-EE"/>
              </w:rPr>
            </w:pPr>
            <w:r w:rsidRPr="00574314">
              <w:rPr>
                <w:rFonts w:eastAsia="Times New Roman" w:cstheme="minorHAnsi"/>
                <w:sz w:val="20"/>
                <w:szCs w:val="20"/>
                <w:lang w:val="en-US" w:eastAsia="et-EE"/>
              </w:rPr>
              <w:t>6</w:t>
            </w:r>
          </w:p>
        </w:tc>
      </w:tr>
      <w:tr w:rsidR="0076121A" w:rsidRPr="00574314" w14:paraId="755ADB5E" w14:textId="77777777" w:rsidTr="007612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hideMark/>
          </w:tcPr>
          <w:p w14:paraId="247CC45C" w14:textId="77777777" w:rsidR="0039643C" w:rsidRPr="00574314" w:rsidRDefault="0039643C" w:rsidP="002E590D">
            <w:pPr>
              <w:jc w:val="center"/>
              <w:rPr>
                <w:rFonts w:eastAsia="Times New Roman" w:cstheme="minorHAnsi"/>
                <w:sz w:val="20"/>
                <w:szCs w:val="20"/>
                <w:lang w:val="en-US" w:eastAsia="et-EE"/>
              </w:rPr>
            </w:pPr>
            <w:r w:rsidRPr="00574314">
              <w:rPr>
                <w:rFonts w:eastAsia="Times New Roman" w:cstheme="minorHAnsi"/>
                <w:sz w:val="20"/>
                <w:szCs w:val="20"/>
                <w:lang w:val="en-US" w:eastAsia="et-EE"/>
              </w:rPr>
              <w:t>1,500 to 1,999</w:t>
            </w:r>
          </w:p>
        </w:tc>
        <w:tc>
          <w:tcPr>
            <w:tcW w:w="0" w:type="dxa"/>
            <w:hideMark/>
          </w:tcPr>
          <w:p w14:paraId="6185B671" w14:textId="77777777" w:rsidR="0039643C" w:rsidRPr="00574314" w:rsidRDefault="0039643C"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US" w:eastAsia="et-EE"/>
              </w:rPr>
            </w:pPr>
            <w:r w:rsidRPr="00574314">
              <w:rPr>
                <w:rFonts w:eastAsia="Times New Roman" w:cstheme="minorHAnsi"/>
                <w:sz w:val="20"/>
                <w:szCs w:val="20"/>
                <w:lang w:val="en-US" w:eastAsia="et-EE"/>
              </w:rPr>
              <w:t>120</w:t>
            </w:r>
          </w:p>
        </w:tc>
        <w:tc>
          <w:tcPr>
            <w:tcW w:w="0" w:type="dxa"/>
            <w:hideMark/>
          </w:tcPr>
          <w:p w14:paraId="61B4EFA8" w14:textId="77777777" w:rsidR="0039643C" w:rsidRPr="00574314" w:rsidRDefault="0039643C"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US" w:eastAsia="et-EE"/>
              </w:rPr>
            </w:pPr>
            <w:r w:rsidRPr="00574314">
              <w:rPr>
                <w:rFonts w:eastAsia="Times New Roman" w:cstheme="minorHAnsi"/>
                <w:sz w:val="20"/>
                <w:szCs w:val="20"/>
                <w:lang w:val="en-US" w:eastAsia="et-EE"/>
              </w:rPr>
              <w:t>10</w:t>
            </w:r>
          </w:p>
        </w:tc>
      </w:tr>
      <w:tr w:rsidR="0076121A" w:rsidRPr="00574314" w14:paraId="71A68DEA" w14:textId="77777777" w:rsidTr="0076121A">
        <w:trPr>
          <w:trHeight w:val="290"/>
        </w:trPr>
        <w:tc>
          <w:tcPr>
            <w:cnfStyle w:val="001000000000" w:firstRow="0" w:lastRow="0" w:firstColumn="1" w:lastColumn="0" w:oddVBand="0" w:evenVBand="0" w:oddHBand="0" w:evenHBand="0" w:firstRowFirstColumn="0" w:firstRowLastColumn="0" w:lastRowFirstColumn="0" w:lastRowLastColumn="0"/>
            <w:tcW w:w="0" w:type="dxa"/>
            <w:hideMark/>
          </w:tcPr>
          <w:p w14:paraId="399E8F19" w14:textId="77777777" w:rsidR="0039643C" w:rsidRPr="00574314" w:rsidRDefault="0039643C" w:rsidP="002E590D">
            <w:pPr>
              <w:jc w:val="center"/>
              <w:rPr>
                <w:rFonts w:eastAsia="Times New Roman" w:cstheme="minorHAnsi"/>
                <w:sz w:val="20"/>
                <w:szCs w:val="20"/>
                <w:lang w:val="en-US" w:eastAsia="et-EE"/>
              </w:rPr>
            </w:pPr>
            <w:r w:rsidRPr="00574314">
              <w:rPr>
                <w:rFonts w:eastAsia="Times New Roman" w:cstheme="minorHAnsi"/>
                <w:sz w:val="20"/>
                <w:szCs w:val="20"/>
                <w:lang w:val="en-US" w:eastAsia="et-EE"/>
              </w:rPr>
              <w:t>2,000 to 2,499</w:t>
            </w:r>
          </w:p>
        </w:tc>
        <w:tc>
          <w:tcPr>
            <w:tcW w:w="0" w:type="dxa"/>
            <w:hideMark/>
          </w:tcPr>
          <w:p w14:paraId="12E485EE" w14:textId="77777777" w:rsidR="0039643C" w:rsidRPr="00574314" w:rsidRDefault="0039643C" w:rsidP="002E590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eastAsia="et-EE"/>
              </w:rPr>
            </w:pPr>
            <w:r w:rsidRPr="00574314">
              <w:rPr>
                <w:rFonts w:eastAsia="Times New Roman" w:cstheme="minorHAnsi"/>
                <w:sz w:val="20"/>
                <w:szCs w:val="20"/>
                <w:lang w:val="en-US" w:eastAsia="et-EE"/>
              </w:rPr>
              <w:t>35</w:t>
            </w:r>
          </w:p>
        </w:tc>
        <w:tc>
          <w:tcPr>
            <w:tcW w:w="0" w:type="dxa"/>
            <w:hideMark/>
          </w:tcPr>
          <w:p w14:paraId="63F2B8C0" w14:textId="77777777" w:rsidR="0039643C" w:rsidRPr="00574314" w:rsidRDefault="0039643C" w:rsidP="002E590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eastAsia="et-EE"/>
              </w:rPr>
            </w:pPr>
            <w:r w:rsidRPr="00574314">
              <w:rPr>
                <w:rFonts w:eastAsia="Times New Roman" w:cstheme="minorHAnsi"/>
                <w:sz w:val="20"/>
                <w:szCs w:val="20"/>
                <w:lang w:val="en-US" w:eastAsia="et-EE"/>
              </w:rPr>
              <w:t>7</w:t>
            </w:r>
          </w:p>
        </w:tc>
      </w:tr>
      <w:tr w:rsidR="0076121A" w:rsidRPr="00574314" w14:paraId="00F465F1" w14:textId="77777777" w:rsidTr="007612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hideMark/>
          </w:tcPr>
          <w:p w14:paraId="1D9F46FE" w14:textId="77777777" w:rsidR="0039643C" w:rsidRPr="00574314" w:rsidRDefault="0039643C" w:rsidP="002E590D">
            <w:pPr>
              <w:jc w:val="center"/>
              <w:rPr>
                <w:rFonts w:eastAsia="Times New Roman" w:cstheme="minorHAnsi"/>
                <w:sz w:val="20"/>
                <w:szCs w:val="20"/>
                <w:lang w:val="en-US" w:eastAsia="et-EE"/>
              </w:rPr>
            </w:pPr>
            <w:r w:rsidRPr="00574314">
              <w:rPr>
                <w:rFonts w:eastAsia="Times New Roman" w:cstheme="minorHAnsi"/>
                <w:sz w:val="20"/>
                <w:szCs w:val="20"/>
                <w:lang w:val="en-US" w:eastAsia="et-EE"/>
              </w:rPr>
              <w:t>2,500 to 3,000</w:t>
            </w:r>
          </w:p>
        </w:tc>
        <w:tc>
          <w:tcPr>
            <w:tcW w:w="0" w:type="dxa"/>
            <w:hideMark/>
          </w:tcPr>
          <w:p w14:paraId="027330DB" w14:textId="77777777" w:rsidR="0039643C" w:rsidRPr="00574314" w:rsidRDefault="0039643C"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US" w:eastAsia="et-EE"/>
              </w:rPr>
            </w:pPr>
            <w:r w:rsidRPr="00574314">
              <w:rPr>
                <w:rFonts w:eastAsia="Times New Roman" w:cstheme="minorHAnsi"/>
                <w:sz w:val="20"/>
                <w:szCs w:val="20"/>
                <w:lang w:val="en-US" w:eastAsia="et-EE"/>
              </w:rPr>
              <w:t>7</w:t>
            </w:r>
          </w:p>
        </w:tc>
        <w:tc>
          <w:tcPr>
            <w:tcW w:w="0" w:type="dxa"/>
            <w:hideMark/>
          </w:tcPr>
          <w:p w14:paraId="1825E5FA" w14:textId="77777777" w:rsidR="0039643C" w:rsidRPr="00574314" w:rsidRDefault="0039643C"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US" w:eastAsia="et-EE"/>
              </w:rPr>
            </w:pPr>
            <w:r w:rsidRPr="00574314">
              <w:rPr>
                <w:rFonts w:eastAsia="Times New Roman" w:cstheme="minorHAnsi"/>
                <w:sz w:val="20"/>
                <w:szCs w:val="20"/>
                <w:lang w:val="en-US" w:eastAsia="et-EE"/>
              </w:rPr>
              <w:t>25</w:t>
            </w:r>
          </w:p>
        </w:tc>
      </w:tr>
      <w:tr w:rsidR="0076121A" w:rsidRPr="00574314" w14:paraId="0B81DC9C" w14:textId="77777777" w:rsidTr="0076121A">
        <w:trPr>
          <w:trHeight w:val="290"/>
        </w:trPr>
        <w:tc>
          <w:tcPr>
            <w:cnfStyle w:val="001000000000" w:firstRow="0" w:lastRow="0" w:firstColumn="1" w:lastColumn="0" w:oddVBand="0" w:evenVBand="0" w:oddHBand="0" w:evenHBand="0" w:firstRowFirstColumn="0" w:firstRowLastColumn="0" w:lastRowFirstColumn="0" w:lastRowLastColumn="0"/>
            <w:tcW w:w="0" w:type="dxa"/>
            <w:hideMark/>
          </w:tcPr>
          <w:p w14:paraId="3AF788EC" w14:textId="77777777" w:rsidR="0039643C" w:rsidRPr="00574314" w:rsidRDefault="0039643C" w:rsidP="002E590D">
            <w:pPr>
              <w:jc w:val="center"/>
              <w:rPr>
                <w:rFonts w:eastAsia="Times New Roman" w:cstheme="minorHAnsi"/>
                <w:sz w:val="20"/>
                <w:szCs w:val="20"/>
                <w:lang w:val="en-US" w:eastAsia="et-EE"/>
              </w:rPr>
            </w:pPr>
            <w:r w:rsidRPr="00574314">
              <w:rPr>
                <w:rFonts w:eastAsia="Times New Roman" w:cstheme="minorHAnsi"/>
                <w:sz w:val="20"/>
                <w:szCs w:val="20"/>
                <w:lang w:val="en-US" w:eastAsia="et-EE"/>
              </w:rPr>
              <w:t>3,000 to 3,499</w:t>
            </w:r>
          </w:p>
        </w:tc>
        <w:tc>
          <w:tcPr>
            <w:tcW w:w="0" w:type="dxa"/>
            <w:hideMark/>
          </w:tcPr>
          <w:p w14:paraId="454C8C51" w14:textId="77777777" w:rsidR="0039643C" w:rsidRPr="00574314" w:rsidRDefault="0039643C" w:rsidP="002E590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eastAsia="et-EE"/>
              </w:rPr>
            </w:pPr>
            <w:r w:rsidRPr="00574314">
              <w:rPr>
                <w:rFonts w:eastAsia="Times New Roman" w:cstheme="minorHAnsi"/>
                <w:sz w:val="20"/>
                <w:szCs w:val="20"/>
                <w:lang w:val="en-US" w:eastAsia="et-EE"/>
              </w:rPr>
              <w:t>1</w:t>
            </w:r>
          </w:p>
        </w:tc>
        <w:tc>
          <w:tcPr>
            <w:tcW w:w="0" w:type="dxa"/>
            <w:hideMark/>
          </w:tcPr>
          <w:p w14:paraId="24AFE8C7" w14:textId="77777777" w:rsidR="0039643C" w:rsidRPr="00574314" w:rsidRDefault="0039643C" w:rsidP="002E590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eastAsia="et-EE"/>
              </w:rPr>
            </w:pPr>
            <w:r w:rsidRPr="00574314">
              <w:rPr>
                <w:rFonts w:eastAsia="Times New Roman" w:cstheme="minorHAnsi"/>
                <w:sz w:val="20"/>
                <w:szCs w:val="20"/>
                <w:lang w:val="en-US" w:eastAsia="et-EE"/>
              </w:rPr>
              <w:t>12</w:t>
            </w:r>
          </w:p>
        </w:tc>
      </w:tr>
      <w:tr w:rsidR="0076121A" w:rsidRPr="00574314" w14:paraId="729E2297" w14:textId="77777777" w:rsidTr="007612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hideMark/>
          </w:tcPr>
          <w:p w14:paraId="0FF8F6A3" w14:textId="77777777" w:rsidR="0039643C" w:rsidRPr="00574314" w:rsidRDefault="0039643C" w:rsidP="002E590D">
            <w:pPr>
              <w:jc w:val="center"/>
              <w:rPr>
                <w:rFonts w:eastAsia="Times New Roman" w:cstheme="minorHAnsi"/>
                <w:sz w:val="20"/>
                <w:szCs w:val="20"/>
                <w:lang w:val="en-US" w:eastAsia="et-EE"/>
              </w:rPr>
            </w:pPr>
            <w:r w:rsidRPr="00574314">
              <w:rPr>
                <w:rFonts w:eastAsia="Times New Roman" w:cstheme="minorHAnsi"/>
                <w:sz w:val="20"/>
                <w:szCs w:val="20"/>
                <w:lang w:val="en-US" w:eastAsia="et-EE"/>
              </w:rPr>
              <w:t>3500 to 3999</w:t>
            </w:r>
          </w:p>
        </w:tc>
        <w:tc>
          <w:tcPr>
            <w:tcW w:w="0" w:type="dxa"/>
            <w:hideMark/>
          </w:tcPr>
          <w:p w14:paraId="5D1A73E6" w14:textId="77777777" w:rsidR="0039643C" w:rsidRPr="00574314" w:rsidRDefault="0039643C"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US" w:eastAsia="et-EE"/>
              </w:rPr>
            </w:pPr>
            <w:r w:rsidRPr="00574314">
              <w:rPr>
                <w:rFonts w:eastAsia="Times New Roman" w:cstheme="minorHAnsi"/>
                <w:sz w:val="20"/>
                <w:szCs w:val="20"/>
                <w:lang w:val="en-US" w:eastAsia="et-EE"/>
              </w:rPr>
              <w:t> </w:t>
            </w:r>
          </w:p>
        </w:tc>
        <w:tc>
          <w:tcPr>
            <w:tcW w:w="0" w:type="dxa"/>
            <w:hideMark/>
          </w:tcPr>
          <w:p w14:paraId="5ADD3098" w14:textId="77777777" w:rsidR="0039643C" w:rsidRPr="00574314" w:rsidRDefault="0039643C"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US" w:eastAsia="et-EE"/>
              </w:rPr>
            </w:pPr>
            <w:r w:rsidRPr="00574314">
              <w:rPr>
                <w:rFonts w:eastAsia="Times New Roman" w:cstheme="minorHAnsi"/>
                <w:sz w:val="20"/>
                <w:szCs w:val="20"/>
                <w:lang w:val="en-US" w:eastAsia="et-EE"/>
              </w:rPr>
              <w:t>19</w:t>
            </w:r>
          </w:p>
        </w:tc>
      </w:tr>
      <w:tr w:rsidR="0076121A" w:rsidRPr="00574314" w14:paraId="6CA22149" w14:textId="77777777" w:rsidTr="0076121A">
        <w:trPr>
          <w:trHeight w:val="290"/>
        </w:trPr>
        <w:tc>
          <w:tcPr>
            <w:cnfStyle w:val="001000000000" w:firstRow="0" w:lastRow="0" w:firstColumn="1" w:lastColumn="0" w:oddVBand="0" w:evenVBand="0" w:oddHBand="0" w:evenHBand="0" w:firstRowFirstColumn="0" w:firstRowLastColumn="0" w:lastRowFirstColumn="0" w:lastRowLastColumn="0"/>
            <w:tcW w:w="0" w:type="dxa"/>
            <w:hideMark/>
          </w:tcPr>
          <w:p w14:paraId="37A1DFDC" w14:textId="77777777" w:rsidR="0039643C" w:rsidRPr="00574314" w:rsidRDefault="0039643C" w:rsidP="002E590D">
            <w:pPr>
              <w:jc w:val="center"/>
              <w:rPr>
                <w:rFonts w:eastAsia="Times New Roman" w:cstheme="minorHAnsi"/>
                <w:sz w:val="20"/>
                <w:szCs w:val="20"/>
                <w:lang w:val="en-US" w:eastAsia="et-EE"/>
              </w:rPr>
            </w:pPr>
            <w:r w:rsidRPr="00574314">
              <w:rPr>
                <w:rFonts w:eastAsia="Times New Roman" w:cstheme="minorHAnsi"/>
                <w:sz w:val="20"/>
                <w:szCs w:val="20"/>
                <w:lang w:val="en-US" w:eastAsia="et-EE"/>
              </w:rPr>
              <w:lastRenderedPageBreak/>
              <w:t>4000 to 4499</w:t>
            </w:r>
          </w:p>
        </w:tc>
        <w:tc>
          <w:tcPr>
            <w:tcW w:w="0" w:type="dxa"/>
            <w:hideMark/>
          </w:tcPr>
          <w:p w14:paraId="5815CF11" w14:textId="77777777" w:rsidR="0039643C" w:rsidRPr="00574314" w:rsidRDefault="0039643C" w:rsidP="002E590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eastAsia="et-EE"/>
              </w:rPr>
            </w:pPr>
            <w:r w:rsidRPr="00574314">
              <w:rPr>
                <w:rFonts w:eastAsia="Times New Roman" w:cstheme="minorHAnsi"/>
                <w:sz w:val="20"/>
                <w:szCs w:val="20"/>
                <w:lang w:val="en-US" w:eastAsia="et-EE"/>
              </w:rPr>
              <w:t> </w:t>
            </w:r>
          </w:p>
        </w:tc>
        <w:tc>
          <w:tcPr>
            <w:tcW w:w="0" w:type="dxa"/>
            <w:hideMark/>
          </w:tcPr>
          <w:p w14:paraId="57B59857" w14:textId="77777777" w:rsidR="0039643C" w:rsidRPr="00574314" w:rsidRDefault="0039643C" w:rsidP="002E590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eastAsia="et-EE"/>
              </w:rPr>
            </w:pPr>
            <w:r w:rsidRPr="00574314">
              <w:rPr>
                <w:rFonts w:eastAsia="Times New Roman" w:cstheme="minorHAnsi"/>
                <w:sz w:val="20"/>
                <w:szCs w:val="20"/>
                <w:lang w:val="en-US" w:eastAsia="et-EE"/>
              </w:rPr>
              <w:t>10</w:t>
            </w:r>
          </w:p>
        </w:tc>
      </w:tr>
      <w:tr w:rsidR="0076121A" w:rsidRPr="00574314" w14:paraId="65F9338C" w14:textId="77777777" w:rsidTr="007612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hideMark/>
          </w:tcPr>
          <w:p w14:paraId="22E3EC00" w14:textId="77777777" w:rsidR="0039643C" w:rsidRPr="00574314" w:rsidRDefault="0039643C" w:rsidP="002E590D">
            <w:pPr>
              <w:jc w:val="center"/>
              <w:rPr>
                <w:rFonts w:eastAsia="Times New Roman" w:cstheme="minorHAnsi"/>
                <w:sz w:val="20"/>
                <w:szCs w:val="20"/>
                <w:lang w:val="en-US" w:eastAsia="et-EE"/>
              </w:rPr>
            </w:pPr>
            <w:r w:rsidRPr="00574314">
              <w:rPr>
                <w:rFonts w:eastAsia="Times New Roman" w:cstheme="minorHAnsi"/>
                <w:sz w:val="20"/>
                <w:szCs w:val="20"/>
                <w:lang w:val="en-US" w:eastAsia="et-EE"/>
              </w:rPr>
              <w:t>4500 to 4999</w:t>
            </w:r>
          </w:p>
        </w:tc>
        <w:tc>
          <w:tcPr>
            <w:tcW w:w="0" w:type="dxa"/>
            <w:hideMark/>
          </w:tcPr>
          <w:p w14:paraId="1CE186DB" w14:textId="77777777" w:rsidR="0039643C" w:rsidRPr="00574314" w:rsidRDefault="0039643C"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US" w:eastAsia="et-EE"/>
              </w:rPr>
            </w:pPr>
            <w:r w:rsidRPr="00574314">
              <w:rPr>
                <w:rFonts w:eastAsia="Times New Roman" w:cstheme="minorHAnsi"/>
                <w:sz w:val="20"/>
                <w:szCs w:val="20"/>
                <w:lang w:val="en-US" w:eastAsia="et-EE"/>
              </w:rPr>
              <w:t> </w:t>
            </w:r>
          </w:p>
        </w:tc>
        <w:tc>
          <w:tcPr>
            <w:tcW w:w="0" w:type="dxa"/>
            <w:hideMark/>
          </w:tcPr>
          <w:p w14:paraId="12FF44A5" w14:textId="77777777" w:rsidR="0039643C" w:rsidRPr="00574314" w:rsidRDefault="0039643C"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US" w:eastAsia="et-EE"/>
              </w:rPr>
            </w:pPr>
            <w:r w:rsidRPr="00574314">
              <w:rPr>
                <w:rFonts w:eastAsia="Times New Roman" w:cstheme="minorHAnsi"/>
                <w:sz w:val="20"/>
                <w:szCs w:val="20"/>
                <w:lang w:val="en-US" w:eastAsia="et-EE"/>
              </w:rPr>
              <w:t>6</w:t>
            </w:r>
          </w:p>
        </w:tc>
      </w:tr>
      <w:tr w:rsidR="0076121A" w:rsidRPr="00574314" w14:paraId="4C163B5A" w14:textId="77777777" w:rsidTr="0076121A">
        <w:trPr>
          <w:trHeight w:val="290"/>
        </w:trPr>
        <w:tc>
          <w:tcPr>
            <w:cnfStyle w:val="001000000000" w:firstRow="0" w:lastRow="0" w:firstColumn="1" w:lastColumn="0" w:oddVBand="0" w:evenVBand="0" w:oddHBand="0" w:evenHBand="0" w:firstRowFirstColumn="0" w:firstRowLastColumn="0" w:lastRowFirstColumn="0" w:lastRowLastColumn="0"/>
            <w:tcW w:w="0" w:type="dxa"/>
            <w:hideMark/>
          </w:tcPr>
          <w:p w14:paraId="243B7840" w14:textId="77777777" w:rsidR="0039643C" w:rsidRPr="00574314" w:rsidRDefault="0039643C" w:rsidP="002E590D">
            <w:pPr>
              <w:jc w:val="center"/>
              <w:rPr>
                <w:rFonts w:eastAsia="Times New Roman" w:cstheme="minorHAnsi"/>
                <w:sz w:val="20"/>
                <w:szCs w:val="20"/>
                <w:lang w:val="en-US" w:eastAsia="et-EE"/>
              </w:rPr>
            </w:pPr>
            <w:r w:rsidRPr="00574314">
              <w:rPr>
                <w:rFonts w:eastAsia="Times New Roman" w:cstheme="minorHAnsi"/>
                <w:sz w:val="20"/>
                <w:szCs w:val="20"/>
                <w:lang w:val="en-US" w:eastAsia="et-EE"/>
              </w:rPr>
              <w:t>5000 to 5999</w:t>
            </w:r>
          </w:p>
        </w:tc>
        <w:tc>
          <w:tcPr>
            <w:tcW w:w="0" w:type="dxa"/>
            <w:hideMark/>
          </w:tcPr>
          <w:p w14:paraId="1880E26E" w14:textId="77777777" w:rsidR="0039643C" w:rsidRPr="00574314" w:rsidRDefault="0039643C" w:rsidP="002E590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eastAsia="et-EE"/>
              </w:rPr>
            </w:pPr>
            <w:r w:rsidRPr="00574314">
              <w:rPr>
                <w:rFonts w:eastAsia="Times New Roman" w:cstheme="minorHAnsi"/>
                <w:sz w:val="20"/>
                <w:szCs w:val="20"/>
                <w:lang w:val="en-US" w:eastAsia="et-EE"/>
              </w:rPr>
              <w:t> </w:t>
            </w:r>
          </w:p>
        </w:tc>
        <w:tc>
          <w:tcPr>
            <w:tcW w:w="0" w:type="dxa"/>
            <w:hideMark/>
          </w:tcPr>
          <w:p w14:paraId="237B4BC3" w14:textId="77777777" w:rsidR="0039643C" w:rsidRPr="00574314" w:rsidRDefault="0039643C" w:rsidP="002E590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eastAsia="et-EE"/>
              </w:rPr>
            </w:pPr>
            <w:r w:rsidRPr="00574314">
              <w:rPr>
                <w:rFonts w:eastAsia="Times New Roman" w:cstheme="minorHAnsi"/>
                <w:sz w:val="20"/>
                <w:szCs w:val="20"/>
                <w:lang w:val="en-US" w:eastAsia="et-EE"/>
              </w:rPr>
              <w:t>8</w:t>
            </w:r>
          </w:p>
        </w:tc>
      </w:tr>
      <w:tr w:rsidR="0076121A" w:rsidRPr="00574314" w14:paraId="5EEF4BCA" w14:textId="77777777" w:rsidTr="007612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hideMark/>
          </w:tcPr>
          <w:p w14:paraId="0BEFB86D" w14:textId="77777777" w:rsidR="0039643C" w:rsidRPr="00574314" w:rsidRDefault="0039643C" w:rsidP="002E590D">
            <w:pPr>
              <w:jc w:val="center"/>
              <w:rPr>
                <w:rFonts w:eastAsia="Times New Roman" w:cstheme="minorHAnsi"/>
                <w:sz w:val="20"/>
                <w:szCs w:val="20"/>
                <w:lang w:val="en-US" w:eastAsia="et-EE"/>
              </w:rPr>
            </w:pPr>
            <w:r w:rsidRPr="00574314">
              <w:rPr>
                <w:rFonts w:eastAsia="Times New Roman" w:cstheme="minorHAnsi"/>
                <w:sz w:val="20"/>
                <w:szCs w:val="20"/>
                <w:lang w:val="en-US" w:eastAsia="et-EE"/>
              </w:rPr>
              <w:t>6000 to 6999</w:t>
            </w:r>
          </w:p>
        </w:tc>
        <w:tc>
          <w:tcPr>
            <w:tcW w:w="0" w:type="dxa"/>
            <w:hideMark/>
          </w:tcPr>
          <w:p w14:paraId="0682E114" w14:textId="77777777" w:rsidR="0039643C" w:rsidRPr="00574314" w:rsidRDefault="0039643C"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US" w:eastAsia="et-EE"/>
              </w:rPr>
            </w:pPr>
            <w:r w:rsidRPr="00574314">
              <w:rPr>
                <w:rFonts w:eastAsia="Times New Roman" w:cstheme="minorHAnsi"/>
                <w:sz w:val="20"/>
                <w:szCs w:val="20"/>
                <w:lang w:val="en-US" w:eastAsia="et-EE"/>
              </w:rPr>
              <w:t> </w:t>
            </w:r>
          </w:p>
        </w:tc>
        <w:tc>
          <w:tcPr>
            <w:tcW w:w="0" w:type="dxa"/>
            <w:hideMark/>
          </w:tcPr>
          <w:p w14:paraId="66016792" w14:textId="77777777" w:rsidR="0039643C" w:rsidRPr="00574314" w:rsidRDefault="0039643C"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US" w:eastAsia="et-EE"/>
              </w:rPr>
            </w:pPr>
            <w:r w:rsidRPr="00574314">
              <w:rPr>
                <w:rFonts w:eastAsia="Times New Roman" w:cstheme="minorHAnsi"/>
                <w:sz w:val="20"/>
                <w:szCs w:val="20"/>
                <w:lang w:val="en-US" w:eastAsia="et-EE"/>
              </w:rPr>
              <w:t>8</w:t>
            </w:r>
          </w:p>
        </w:tc>
      </w:tr>
      <w:tr w:rsidR="0076121A" w:rsidRPr="00574314" w14:paraId="3859731A" w14:textId="77777777" w:rsidTr="0076121A">
        <w:trPr>
          <w:trHeight w:val="290"/>
        </w:trPr>
        <w:tc>
          <w:tcPr>
            <w:cnfStyle w:val="001000000000" w:firstRow="0" w:lastRow="0" w:firstColumn="1" w:lastColumn="0" w:oddVBand="0" w:evenVBand="0" w:oddHBand="0" w:evenHBand="0" w:firstRowFirstColumn="0" w:firstRowLastColumn="0" w:lastRowFirstColumn="0" w:lastRowLastColumn="0"/>
            <w:tcW w:w="0" w:type="dxa"/>
            <w:hideMark/>
          </w:tcPr>
          <w:p w14:paraId="1D3B78F9" w14:textId="77777777" w:rsidR="0039643C" w:rsidRPr="00574314" w:rsidRDefault="0039643C" w:rsidP="002E590D">
            <w:pPr>
              <w:jc w:val="center"/>
              <w:rPr>
                <w:rFonts w:eastAsia="Times New Roman" w:cstheme="minorHAnsi"/>
                <w:sz w:val="20"/>
                <w:szCs w:val="20"/>
                <w:lang w:val="en-US" w:eastAsia="et-EE"/>
              </w:rPr>
            </w:pPr>
            <w:r w:rsidRPr="00574314">
              <w:rPr>
                <w:rFonts w:eastAsia="Times New Roman" w:cstheme="minorHAnsi"/>
                <w:sz w:val="20"/>
                <w:szCs w:val="20"/>
                <w:lang w:val="en-US" w:eastAsia="et-EE"/>
              </w:rPr>
              <w:t>7000 to 7999</w:t>
            </w:r>
          </w:p>
        </w:tc>
        <w:tc>
          <w:tcPr>
            <w:tcW w:w="0" w:type="dxa"/>
            <w:hideMark/>
          </w:tcPr>
          <w:p w14:paraId="0D9CB437" w14:textId="77777777" w:rsidR="0039643C" w:rsidRPr="00574314" w:rsidRDefault="0039643C" w:rsidP="002E590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eastAsia="et-EE"/>
              </w:rPr>
            </w:pPr>
            <w:r w:rsidRPr="00574314">
              <w:rPr>
                <w:rFonts w:eastAsia="Times New Roman" w:cstheme="minorHAnsi"/>
                <w:sz w:val="20"/>
                <w:szCs w:val="20"/>
                <w:lang w:val="en-US" w:eastAsia="et-EE"/>
              </w:rPr>
              <w:t> </w:t>
            </w:r>
          </w:p>
        </w:tc>
        <w:tc>
          <w:tcPr>
            <w:tcW w:w="0" w:type="dxa"/>
            <w:hideMark/>
          </w:tcPr>
          <w:p w14:paraId="4FBA4798" w14:textId="77777777" w:rsidR="0039643C" w:rsidRPr="00574314" w:rsidRDefault="0039643C" w:rsidP="002E590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eastAsia="et-EE"/>
              </w:rPr>
            </w:pPr>
            <w:r w:rsidRPr="00574314">
              <w:rPr>
                <w:rFonts w:eastAsia="Times New Roman" w:cstheme="minorHAnsi"/>
                <w:sz w:val="20"/>
                <w:szCs w:val="20"/>
                <w:lang w:val="en-US" w:eastAsia="et-EE"/>
              </w:rPr>
              <w:t>6</w:t>
            </w:r>
          </w:p>
        </w:tc>
      </w:tr>
      <w:tr w:rsidR="0076121A" w:rsidRPr="00574314" w14:paraId="7C3EA4A1" w14:textId="77777777" w:rsidTr="0076121A">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0" w:type="dxa"/>
            <w:hideMark/>
          </w:tcPr>
          <w:p w14:paraId="5AA180F7" w14:textId="77777777" w:rsidR="0039643C" w:rsidRPr="00574314" w:rsidRDefault="0039643C" w:rsidP="002E590D">
            <w:pPr>
              <w:jc w:val="center"/>
              <w:rPr>
                <w:rFonts w:eastAsia="Times New Roman" w:cstheme="minorHAnsi"/>
                <w:sz w:val="20"/>
                <w:szCs w:val="20"/>
                <w:lang w:val="en-US" w:eastAsia="et-EE"/>
              </w:rPr>
            </w:pPr>
            <w:r w:rsidRPr="00574314">
              <w:rPr>
                <w:rFonts w:eastAsia="Times New Roman" w:cstheme="minorHAnsi"/>
                <w:sz w:val="20"/>
                <w:szCs w:val="20"/>
                <w:lang w:val="en-US" w:eastAsia="et-EE"/>
              </w:rPr>
              <w:t>Over 8000</w:t>
            </w:r>
          </w:p>
        </w:tc>
        <w:tc>
          <w:tcPr>
            <w:tcW w:w="0" w:type="dxa"/>
            <w:hideMark/>
          </w:tcPr>
          <w:p w14:paraId="00DD5961" w14:textId="77777777" w:rsidR="0039643C" w:rsidRPr="00574314" w:rsidRDefault="0039643C"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US" w:eastAsia="et-EE"/>
              </w:rPr>
            </w:pPr>
            <w:r w:rsidRPr="00574314">
              <w:rPr>
                <w:rFonts w:eastAsia="Times New Roman" w:cstheme="minorHAnsi"/>
                <w:sz w:val="20"/>
                <w:szCs w:val="20"/>
                <w:lang w:val="en-US" w:eastAsia="et-EE"/>
              </w:rPr>
              <w:t> </w:t>
            </w:r>
          </w:p>
        </w:tc>
        <w:tc>
          <w:tcPr>
            <w:tcW w:w="0" w:type="dxa"/>
            <w:hideMark/>
          </w:tcPr>
          <w:p w14:paraId="46BA82F4" w14:textId="77777777" w:rsidR="0039643C" w:rsidRPr="00574314" w:rsidRDefault="0039643C"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sz w:val="20"/>
                <w:szCs w:val="20"/>
                <w:lang w:val="en-US" w:eastAsia="et-EE"/>
              </w:rPr>
            </w:pPr>
            <w:r w:rsidRPr="00574314">
              <w:rPr>
                <w:rFonts w:eastAsia="Times New Roman" w:cstheme="minorHAnsi"/>
                <w:sz w:val="20"/>
                <w:szCs w:val="20"/>
                <w:lang w:val="en-US" w:eastAsia="et-EE"/>
              </w:rPr>
              <w:t>13</w:t>
            </w:r>
          </w:p>
        </w:tc>
      </w:tr>
      <w:tr w:rsidR="0076121A" w:rsidRPr="00574314" w14:paraId="0CAA1BC5" w14:textId="77777777" w:rsidTr="0076121A">
        <w:trPr>
          <w:trHeight w:val="290"/>
        </w:trPr>
        <w:tc>
          <w:tcPr>
            <w:cnfStyle w:val="001000000000" w:firstRow="0" w:lastRow="0" w:firstColumn="1" w:lastColumn="0" w:oddVBand="0" w:evenVBand="0" w:oddHBand="0" w:evenHBand="0" w:firstRowFirstColumn="0" w:firstRowLastColumn="0" w:lastRowFirstColumn="0" w:lastRowLastColumn="0"/>
            <w:tcW w:w="0" w:type="dxa"/>
            <w:hideMark/>
          </w:tcPr>
          <w:p w14:paraId="0A3E9F90" w14:textId="77777777" w:rsidR="0039643C" w:rsidRPr="00574314" w:rsidRDefault="0039643C" w:rsidP="002E590D">
            <w:pPr>
              <w:jc w:val="center"/>
              <w:rPr>
                <w:rFonts w:eastAsia="Times New Roman" w:cstheme="minorHAnsi"/>
                <w:sz w:val="20"/>
                <w:szCs w:val="20"/>
                <w:lang w:val="en-US" w:eastAsia="et-EE"/>
              </w:rPr>
            </w:pPr>
            <w:r w:rsidRPr="00574314">
              <w:rPr>
                <w:rFonts w:eastAsia="Times New Roman" w:cstheme="minorHAnsi"/>
                <w:sz w:val="20"/>
                <w:szCs w:val="20"/>
                <w:lang w:val="en-US" w:eastAsia="et-EE"/>
              </w:rPr>
              <w:t>No information</w:t>
            </w:r>
          </w:p>
        </w:tc>
        <w:tc>
          <w:tcPr>
            <w:tcW w:w="0" w:type="dxa"/>
            <w:hideMark/>
          </w:tcPr>
          <w:p w14:paraId="1F7C2085" w14:textId="77777777" w:rsidR="0039643C" w:rsidRPr="00574314" w:rsidRDefault="0039643C" w:rsidP="002E590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eastAsia="et-EE"/>
              </w:rPr>
            </w:pPr>
            <w:r w:rsidRPr="00574314">
              <w:rPr>
                <w:rFonts w:eastAsia="Times New Roman" w:cstheme="minorHAnsi"/>
                <w:sz w:val="20"/>
                <w:szCs w:val="20"/>
                <w:lang w:val="en-US" w:eastAsia="et-EE"/>
              </w:rPr>
              <w:t> </w:t>
            </w:r>
          </w:p>
        </w:tc>
        <w:tc>
          <w:tcPr>
            <w:tcW w:w="0" w:type="dxa"/>
            <w:hideMark/>
          </w:tcPr>
          <w:p w14:paraId="77F8538C" w14:textId="77777777" w:rsidR="0039643C" w:rsidRPr="00574314" w:rsidRDefault="0039643C" w:rsidP="002E590D">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sz w:val="20"/>
                <w:szCs w:val="20"/>
                <w:lang w:val="en-US" w:eastAsia="et-EE"/>
              </w:rPr>
            </w:pPr>
            <w:r w:rsidRPr="00574314">
              <w:rPr>
                <w:rFonts w:eastAsia="Times New Roman" w:cstheme="minorHAnsi"/>
                <w:sz w:val="20"/>
                <w:szCs w:val="20"/>
                <w:lang w:val="en-US" w:eastAsia="et-EE"/>
              </w:rPr>
              <w:t>13</w:t>
            </w:r>
          </w:p>
        </w:tc>
      </w:tr>
    </w:tbl>
    <w:p w14:paraId="6B773989" w14:textId="77777777" w:rsidR="00712F8C" w:rsidRPr="005053C3" w:rsidRDefault="00712F8C" w:rsidP="002E590D">
      <w:pPr>
        <w:spacing w:after="0" w:line="240" w:lineRule="auto"/>
        <w:jc w:val="both"/>
        <w:rPr>
          <w:lang w:val="en-GB"/>
        </w:rPr>
      </w:pPr>
    </w:p>
    <w:p w14:paraId="49300669" w14:textId="17193808" w:rsidR="00BC65F8" w:rsidRPr="005053C3" w:rsidRDefault="00C14FA2" w:rsidP="002E590D">
      <w:pPr>
        <w:spacing w:after="0" w:line="240" w:lineRule="auto"/>
        <w:jc w:val="both"/>
        <w:rPr>
          <w:lang w:val="en-GB"/>
        </w:rPr>
      </w:pPr>
      <w:r>
        <w:rPr>
          <w:lang w:val="en-GB"/>
        </w:rPr>
        <w:t xml:space="preserve">To conclude, the provider structure among PHC providers </w:t>
      </w:r>
      <w:r w:rsidR="005B34B2">
        <w:rPr>
          <w:lang w:val="en-GB"/>
        </w:rPr>
        <w:t xml:space="preserve">varies vastly in Georgia. Majority of rural providers work as single providers or as a group of two </w:t>
      </w:r>
      <w:r w:rsidR="005F62ED">
        <w:rPr>
          <w:lang w:val="en-GB"/>
        </w:rPr>
        <w:t>whereas</w:t>
      </w:r>
      <w:r w:rsidR="005B34B2">
        <w:rPr>
          <w:lang w:val="en-GB"/>
        </w:rPr>
        <w:t xml:space="preserve"> there i</w:t>
      </w:r>
      <w:r w:rsidR="009D6094">
        <w:rPr>
          <w:lang w:val="en-GB"/>
        </w:rPr>
        <w:t xml:space="preserve">s bigger variety in the provider structure for urban providers. The amount of consultations </w:t>
      </w:r>
      <w:r w:rsidR="00AD16C9">
        <w:rPr>
          <w:lang w:val="en-GB"/>
        </w:rPr>
        <w:t xml:space="preserve">provided by rural providers is three times less than by urban providers. </w:t>
      </w:r>
      <w:r w:rsidR="005F62ED">
        <w:rPr>
          <w:lang w:val="en-GB"/>
        </w:rPr>
        <w:t>Also,</w:t>
      </w:r>
      <w:r w:rsidR="00AD16C9">
        <w:rPr>
          <w:lang w:val="en-GB"/>
        </w:rPr>
        <w:t xml:space="preserve"> the payment received per </w:t>
      </w:r>
      <w:r w:rsidR="005A79A0">
        <w:rPr>
          <w:lang w:val="en-GB"/>
        </w:rPr>
        <w:t>patient in catchment area</w:t>
      </w:r>
      <w:r w:rsidR="00AD16C9">
        <w:rPr>
          <w:lang w:val="en-GB"/>
        </w:rPr>
        <w:t xml:space="preserve"> is 30% </w:t>
      </w:r>
      <w:r w:rsidR="005A79A0">
        <w:rPr>
          <w:lang w:val="en-GB"/>
        </w:rPr>
        <w:t xml:space="preserve">lower </w:t>
      </w:r>
      <w:r w:rsidR="00AD16C9">
        <w:rPr>
          <w:lang w:val="en-GB"/>
        </w:rPr>
        <w:t>in rural setting</w:t>
      </w:r>
      <w:r w:rsidR="005A79A0">
        <w:rPr>
          <w:lang w:val="en-GB"/>
        </w:rPr>
        <w:t xml:space="preserve"> compared to urban providers financed through universal healthcare program</w:t>
      </w:r>
      <w:r w:rsidR="00AD16C9">
        <w:rPr>
          <w:lang w:val="en-GB"/>
        </w:rPr>
        <w:t>.</w:t>
      </w:r>
      <w:r w:rsidR="00736A8F">
        <w:rPr>
          <w:lang w:val="en-GB"/>
        </w:rPr>
        <w:t xml:space="preserve"> These differences indicate that there may be a challenge to ensure equa</w:t>
      </w:r>
      <w:r w:rsidR="00F4085A">
        <w:rPr>
          <w:lang w:val="en-GB"/>
        </w:rPr>
        <w:t>l access to quality PHC services throughout the country.</w:t>
      </w:r>
    </w:p>
    <w:p w14:paraId="62CF5685" w14:textId="02F1FAC7" w:rsidR="00D50BCB" w:rsidRPr="005053C3" w:rsidRDefault="00D50BCB" w:rsidP="002E590D">
      <w:pPr>
        <w:spacing w:after="0" w:line="240" w:lineRule="auto"/>
        <w:jc w:val="both"/>
        <w:rPr>
          <w:rFonts w:eastAsiaTheme="minorEastAsia"/>
          <w:lang w:val="en-GB"/>
        </w:rPr>
      </w:pPr>
    </w:p>
    <w:p w14:paraId="219A8DC5" w14:textId="3316DCCC" w:rsidR="00152E70" w:rsidRPr="005053C3" w:rsidRDefault="00D6455C" w:rsidP="002E590D">
      <w:pPr>
        <w:pStyle w:val="Heading1"/>
        <w:spacing w:before="0" w:line="240" w:lineRule="auto"/>
        <w:rPr>
          <w:b/>
          <w:bCs/>
          <w:lang w:val="en-GB"/>
        </w:rPr>
      </w:pPr>
      <w:bookmarkStart w:id="5" w:name="_Toc62149246"/>
      <w:bookmarkStart w:id="6" w:name="_Toc14682661"/>
      <w:r w:rsidRPr="00681EA9">
        <w:rPr>
          <w:b/>
          <w:bCs/>
          <w:color w:val="auto"/>
          <w:lang w:val="en-GB"/>
        </w:rPr>
        <w:t xml:space="preserve">3. </w:t>
      </w:r>
      <w:r w:rsidR="00152E70" w:rsidRPr="00681EA9">
        <w:rPr>
          <w:b/>
          <w:bCs/>
          <w:color w:val="auto"/>
          <w:lang w:val="en-GB"/>
        </w:rPr>
        <w:t xml:space="preserve">Scope of </w:t>
      </w:r>
      <w:r w:rsidR="008962A5" w:rsidRPr="00681EA9">
        <w:rPr>
          <w:b/>
          <w:bCs/>
          <w:color w:val="auto"/>
          <w:lang w:val="en-GB"/>
        </w:rPr>
        <w:t xml:space="preserve">PHC </w:t>
      </w:r>
      <w:r w:rsidR="00152E70" w:rsidRPr="00681EA9">
        <w:rPr>
          <w:b/>
          <w:bCs/>
          <w:color w:val="auto"/>
          <w:lang w:val="en-GB"/>
        </w:rPr>
        <w:t>services</w:t>
      </w:r>
      <w:bookmarkEnd w:id="5"/>
      <w:r w:rsidR="00152E70" w:rsidRPr="00681EA9">
        <w:rPr>
          <w:b/>
          <w:bCs/>
          <w:color w:val="auto"/>
          <w:lang w:val="en-GB"/>
        </w:rPr>
        <w:t xml:space="preserve"> </w:t>
      </w:r>
    </w:p>
    <w:p w14:paraId="0DDEAAFE" w14:textId="77777777" w:rsidR="00681EA9" w:rsidRDefault="00681EA9" w:rsidP="002E590D">
      <w:pPr>
        <w:spacing w:after="0" w:line="240" w:lineRule="auto"/>
        <w:jc w:val="both"/>
        <w:rPr>
          <w:rFonts w:eastAsiaTheme="minorEastAsia"/>
          <w:lang w:val="en-GB"/>
        </w:rPr>
      </w:pPr>
    </w:p>
    <w:p w14:paraId="413D83F3" w14:textId="4BEAE84D" w:rsidR="00152E70" w:rsidRDefault="00152E70" w:rsidP="002E590D">
      <w:pPr>
        <w:spacing w:after="0" w:line="240" w:lineRule="auto"/>
        <w:jc w:val="both"/>
        <w:rPr>
          <w:rFonts w:eastAsiaTheme="minorEastAsia"/>
          <w:lang w:val="en-GB"/>
        </w:rPr>
      </w:pPr>
      <w:r w:rsidRPr="005053C3">
        <w:rPr>
          <w:rFonts w:eastAsiaTheme="minorEastAsia"/>
          <w:lang w:val="en-GB"/>
        </w:rPr>
        <w:t>The goal of the PHC package revision is to promote a more integrated, comprehensive PHC benefits package inclusive of prevention, diagnostics, chronic diseases management and treatment to meet the health needs of the population.</w:t>
      </w:r>
    </w:p>
    <w:p w14:paraId="109C2217" w14:textId="77777777" w:rsidR="00000725" w:rsidRPr="005053C3" w:rsidRDefault="00000725" w:rsidP="002E590D">
      <w:pPr>
        <w:spacing w:after="0" w:line="240" w:lineRule="auto"/>
        <w:jc w:val="both"/>
        <w:rPr>
          <w:rFonts w:eastAsiaTheme="minorEastAsia"/>
          <w:lang w:val="en-GB"/>
        </w:rPr>
      </w:pPr>
    </w:p>
    <w:p w14:paraId="6FFBE2C2" w14:textId="7443B77C" w:rsidR="00152E70" w:rsidRDefault="00152E70" w:rsidP="002E590D">
      <w:pPr>
        <w:spacing w:after="0" w:line="240" w:lineRule="auto"/>
        <w:jc w:val="both"/>
        <w:rPr>
          <w:rFonts w:eastAsiaTheme="minorEastAsia"/>
          <w:lang w:val="en-GB"/>
        </w:rPr>
      </w:pPr>
      <w:r w:rsidRPr="005053C3">
        <w:rPr>
          <w:rFonts w:eastAsiaTheme="minorEastAsia"/>
          <w:lang w:val="en-GB"/>
        </w:rPr>
        <w:t>The revised payment model is intended for use by all providers offering the basic benefits package in rural and urban settings. The model is based on defining all necessary</w:t>
      </w:r>
      <w:r w:rsidR="00F863A7">
        <w:rPr>
          <w:rFonts w:eastAsiaTheme="minorEastAsia"/>
          <w:lang w:val="en-GB"/>
        </w:rPr>
        <w:t xml:space="preserve"> basic</w:t>
      </w:r>
      <w:r w:rsidRPr="005053C3">
        <w:rPr>
          <w:rFonts w:eastAsiaTheme="minorEastAsia"/>
          <w:lang w:val="en-GB"/>
        </w:rPr>
        <w:t xml:space="preserve"> costs </w:t>
      </w:r>
      <w:r w:rsidR="00DD341C">
        <w:rPr>
          <w:rFonts w:eastAsiaTheme="minorEastAsia"/>
          <w:lang w:val="en-GB"/>
        </w:rPr>
        <w:t>to provide essential services</w:t>
      </w:r>
      <w:r w:rsidR="00F863A7">
        <w:rPr>
          <w:rFonts w:eastAsiaTheme="minorEastAsia"/>
          <w:lang w:val="en-GB"/>
        </w:rPr>
        <w:t xml:space="preserve"> in the PHC benefits package</w:t>
      </w:r>
      <w:r w:rsidR="00DD341C">
        <w:rPr>
          <w:rFonts w:eastAsiaTheme="minorEastAsia"/>
          <w:lang w:val="en-GB"/>
        </w:rPr>
        <w:t xml:space="preserve"> and </w:t>
      </w:r>
      <w:r w:rsidRPr="005053C3">
        <w:rPr>
          <w:rFonts w:eastAsiaTheme="minorEastAsia"/>
          <w:lang w:val="en-GB"/>
        </w:rPr>
        <w:t xml:space="preserve">calculating possible capitation rates for different providers. The model also accounts for the cost of laboratory tests that should minimally be available at the </w:t>
      </w:r>
      <w:r w:rsidR="00C73F6E">
        <w:rPr>
          <w:rFonts w:eastAsiaTheme="minorEastAsia"/>
          <w:lang w:val="en-GB"/>
        </w:rPr>
        <w:t>PHC</w:t>
      </w:r>
      <w:r w:rsidRPr="005053C3">
        <w:rPr>
          <w:rFonts w:eastAsiaTheme="minorEastAsia"/>
          <w:lang w:val="en-GB"/>
        </w:rPr>
        <w:t xml:space="preserve"> level. The payment system provides for delivery of the PHC benefits package without co-payments to cover basic costs. As an incentive to provide services at the PHC level for specific priority diseases and populations, motivational add-on payments are proposed for hypertension, cardiovascular disease (CVD), diabetes patients and children</w:t>
      </w:r>
      <w:r w:rsidR="007C0633">
        <w:rPr>
          <w:rFonts w:eastAsiaTheme="minorEastAsia"/>
          <w:lang w:val="en-GB"/>
        </w:rPr>
        <w:t xml:space="preserve"> (early child development – ECD services)</w:t>
      </w:r>
      <w:r w:rsidRPr="005053C3">
        <w:rPr>
          <w:rFonts w:eastAsiaTheme="minorEastAsia"/>
          <w:lang w:val="en-GB"/>
        </w:rPr>
        <w:t>.</w:t>
      </w:r>
    </w:p>
    <w:p w14:paraId="0C6C54BF" w14:textId="77777777" w:rsidR="000013A5" w:rsidRDefault="000013A5" w:rsidP="002E590D">
      <w:pPr>
        <w:spacing w:after="0" w:line="240" w:lineRule="auto"/>
        <w:jc w:val="both"/>
        <w:rPr>
          <w:rFonts w:eastAsiaTheme="minorEastAsia"/>
          <w:lang w:val="en-GB"/>
        </w:rPr>
      </w:pPr>
    </w:p>
    <w:p w14:paraId="781B6166" w14:textId="30B35049" w:rsidR="00B7566F" w:rsidRDefault="00B7566F" w:rsidP="002E590D">
      <w:pPr>
        <w:spacing w:after="0" w:line="240" w:lineRule="auto"/>
        <w:jc w:val="both"/>
        <w:rPr>
          <w:lang w:val="en-US"/>
        </w:rPr>
      </w:pPr>
      <w:r>
        <w:rPr>
          <w:lang w:val="en-US"/>
        </w:rPr>
        <w:t>The model</w:t>
      </w:r>
      <w:r w:rsidR="007C0633">
        <w:rPr>
          <w:lang w:val="en-US"/>
        </w:rPr>
        <w:t xml:space="preserve"> takes </w:t>
      </w:r>
      <w:r>
        <w:rPr>
          <w:lang w:val="en-US"/>
        </w:rPr>
        <w:t xml:space="preserve">into account already defined policy perspectives. There is a fragmented PHC system for rural and urban populations with different financing sources. The provided payment design would enable to differentiate urban and rural providers financing in a way that supports equal access and quality of services. The access to services and quality of services should </w:t>
      </w:r>
      <w:r w:rsidR="00E326C3">
        <w:rPr>
          <w:lang w:val="en-US"/>
        </w:rPr>
        <w:t>not</w:t>
      </w:r>
      <w:r>
        <w:rPr>
          <w:lang w:val="en-US"/>
        </w:rPr>
        <w:t xml:space="preserve"> depend whether PHC is provided in rural or urban setting.</w:t>
      </w:r>
    </w:p>
    <w:p w14:paraId="6DBC0274" w14:textId="77777777" w:rsidR="00E326C3" w:rsidRDefault="00E326C3" w:rsidP="002E590D">
      <w:pPr>
        <w:spacing w:after="0" w:line="240" w:lineRule="auto"/>
        <w:jc w:val="both"/>
        <w:rPr>
          <w:lang w:val="en-US"/>
        </w:rPr>
      </w:pPr>
    </w:p>
    <w:p w14:paraId="4D746E81" w14:textId="4A8D7CCB" w:rsidR="00B7566F" w:rsidRDefault="00B7566F" w:rsidP="002E590D">
      <w:pPr>
        <w:spacing w:after="0" w:line="240" w:lineRule="auto"/>
        <w:jc w:val="both"/>
        <w:rPr>
          <w:lang w:val="en-US"/>
        </w:rPr>
      </w:pPr>
      <w:r>
        <w:rPr>
          <w:lang w:val="en-US"/>
        </w:rPr>
        <w:t>One of the policy perspectives has been to move toward bigger group practices. This is of great importance to increase efficiency, improve quality and sustainability of service provision</w:t>
      </w:r>
      <w:r w:rsidR="00365DDB">
        <w:rPr>
          <w:lang w:val="en-US"/>
        </w:rPr>
        <w:t xml:space="preserve"> at PHC level</w:t>
      </w:r>
      <w:r>
        <w:rPr>
          <w:lang w:val="en-US"/>
        </w:rPr>
        <w:t xml:space="preserve">. There have been steps to motivate urban providers to merge into bigger (5 FD and FN) teams with at least 10 000 population enrolled to the catchment area. This policy perspective has been </w:t>
      </w:r>
      <w:r w:rsidR="00365DDB">
        <w:rPr>
          <w:lang w:val="en-US"/>
        </w:rPr>
        <w:t>considered</w:t>
      </w:r>
      <w:r>
        <w:rPr>
          <w:lang w:val="en-US"/>
        </w:rPr>
        <w:t xml:space="preserve"> when developing payment model. Nevertheless, since not all providers in urban regions may be able to merge in the teams of 5, an solution may </w:t>
      </w:r>
      <w:r w:rsidR="001515B9">
        <w:rPr>
          <w:lang w:val="en-US"/>
        </w:rPr>
        <w:t xml:space="preserve">also </w:t>
      </w:r>
      <w:r>
        <w:rPr>
          <w:lang w:val="en-US"/>
        </w:rPr>
        <w:t>be needed also for smaller teams.</w:t>
      </w:r>
    </w:p>
    <w:p w14:paraId="47B1E2D2" w14:textId="77777777" w:rsidR="00E326C3" w:rsidRDefault="00E326C3" w:rsidP="002E590D">
      <w:pPr>
        <w:spacing w:after="0" w:line="240" w:lineRule="auto"/>
        <w:jc w:val="both"/>
        <w:rPr>
          <w:lang w:val="en-US"/>
        </w:rPr>
      </w:pPr>
    </w:p>
    <w:p w14:paraId="06C02CCC" w14:textId="0840DEE9" w:rsidR="00B7566F" w:rsidRDefault="00B7566F" w:rsidP="002E590D">
      <w:pPr>
        <w:spacing w:after="0" w:line="240" w:lineRule="auto"/>
        <w:jc w:val="both"/>
        <w:rPr>
          <w:lang w:val="en-US"/>
        </w:rPr>
      </w:pPr>
      <w:r>
        <w:rPr>
          <w:lang w:val="en-US"/>
        </w:rPr>
        <w:t xml:space="preserve">Furthermore, the payment model currently does not </w:t>
      </w:r>
      <w:r w:rsidR="001515B9">
        <w:rPr>
          <w:lang w:val="en-US"/>
        </w:rPr>
        <w:t>consider</w:t>
      </w:r>
      <w:r>
        <w:rPr>
          <w:lang w:val="en-US"/>
        </w:rPr>
        <w:t xml:space="preserve"> sustainability issues that may rise due to very low number of patients in the catchment area. According to regional policy, geographical areas should be defined where minimum level of funding is guaranteed </w:t>
      </w:r>
      <w:r w:rsidR="00F46CC9">
        <w:rPr>
          <w:lang w:val="en-US"/>
        </w:rPr>
        <w:t xml:space="preserve">and </w:t>
      </w:r>
      <w:r>
        <w:rPr>
          <w:lang w:val="en-US"/>
        </w:rPr>
        <w:t>not depending on patient list size. These include for example mountainous areas or other areas where the population density is very low and areas where there are difficulties to find PHC provider.</w:t>
      </w:r>
    </w:p>
    <w:p w14:paraId="15835119" w14:textId="77777777" w:rsidR="00B7566F" w:rsidRPr="0024337F" w:rsidRDefault="00B7566F" w:rsidP="002E590D">
      <w:pPr>
        <w:spacing w:after="0" w:line="240" w:lineRule="auto"/>
        <w:jc w:val="both"/>
        <w:rPr>
          <w:lang w:val="en-US"/>
        </w:rPr>
      </w:pPr>
      <w:r>
        <w:rPr>
          <w:lang w:val="en-US"/>
        </w:rPr>
        <w:lastRenderedPageBreak/>
        <w:t>To summarize, the developed payment design and costing model has been tailored to fit Georgian PHC organization, but it may be subject to further developments according to new policy perspectives.</w:t>
      </w:r>
    </w:p>
    <w:p w14:paraId="152971B7" w14:textId="77777777" w:rsidR="00B7566F" w:rsidRPr="005053C3" w:rsidRDefault="00B7566F" w:rsidP="002E590D">
      <w:pPr>
        <w:spacing w:after="0" w:line="240" w:lineRule="auto"/>
        <w:jc w:val="both"/>
        <w:rPr>
          <w:rFonts w:eastAsiaTheme="minorEastAsia"/>
          <w:lang w:val="en-GB"/>
        </w:rPr>
      </w:pPr>
    </w:p>
    <w:p w14:paraId="7A555B00" w14:textId="718A67A1" w:rsidR="00435CBE" w:rsidRPr="00681EA9" w:rsidRDefault="00A5718B" w:rsidP="002E590D">
      <w:pPr>
        <w:pStyle w:val="Heading1"/>
        <w:spacing w:before="0" w:line="240" w:lineRule="auto"/>
        <w:rPr>
          <w:b/>
          <w:bCs/>
          <w:color w:val="auto"/>
          <w:lang w:val="en-GB"/>
        </w:rPr>
      </w:pPr>
      <w:bookmarkStart w:id="7" w:name="_Toc62149247"/>
      <w:r w:rsidRPr="00681EA9">
        <w:rPr>
          <w:b/>
          <w:bCs/>
          <w:color w:val="auto"/>
          <w:lang w:val="en-GB"/>
        </w:rPr>
        <w:t xml:space="preserve">4. </w:t>
      </w:r>
      <w:r w:rsidR="00BA7723" w:rsidRPr="00681EA9">
        <w:rPr>
          <w:b/>
          <w:bCs/>
          <w:color w:val="auto"/>
          <w:lang w:val="en-GB"/>
        </w:rPr>
        <w:t>C</w:t>
      </w:r>
      <w:r w:rsidR="00435CBE" w:rsidRPr="00681EA9">
        <w:rPr>
          <w:b/>
          <w:bCs/>
          <w:color w:val="auto"/>
          <w:lang w:val="en-GB"/>
        </w:rPr>
        <w:t>ost estimates</w:t>
      </w:r>
      <w:bookmarkEnd w:id="6"/>
      <w:bookmarkEnd w:id="7"/>
    </w:p>
    <w:p w14:paraId="13CC73B4" w14:textId="77777777" w:rsidR="00681EA9" w:rsidRDefault="00681EA9" w:rsidP="002E590D">
      <w:pPr>
        <w:spacing w:after="0" w:line="240" w:lineRule="auto"/>
        <w:jc w:val="both"/>
        <w:rPr>
          <w:lang w:val="en-US"/>
        </w:rPr>
      </w:pPr>
    </w:p>
    <w:p w14:paraId="51A5D4DE" w14:textId="11EEDE22" w:rsidR="004567BF" w:rsidRDefault="00423058" w:rsidP="002E590D">
      <w:pPr>
        <w:spacing w:after="0" w:line="240" w:lineRule="auto"/>
        <w:jc w:val="both"/>
        <w:rPr>
          <w:lang w:val="en-US"/>
        </w:rPr>
      </w:pPr>
      <w:r w:rsidRPr="003D1533">
        <w:rPr>
          <w:lang w:val="en-US"/>
        </w:rPr>
        <w:t xml:space="preserve">For the rational of the costing model, we used international experience </w:t>
      </w:r>
      <w:r w:rsidR="009B0B84" w:rsidRPr="003D1533">
        <w:rPr>
          <w:lang w:val="en-US"/>
        </w:rPr>
        <w:t>in paying for primary care services</w:t>
      </w:r>
      <w:r w:rsidR="00B3533B">
        <w:rPr>
          <w:rStyle w:val="FootnoteReference"/>
          <w:lang w:val="en-US"/>
        </w:rPr>
        <w:footnoteReference w:id="3"/>
      </w:r>
      <w:r w:rsidR="009B0B84" w:rsidRPr="003D1533">
        <w:rPr>
          <w:lang w:val="en-US"/>
        </w:rPr>
        <w:t xml:space="preserve">. </w:t>
      </w:r>
      <w:r w:rsidR="00097ECB">
        <w:rPr>
          <w:lang w:val="en-US"/>
        </w:rPr>
        <w:t xml:space="preserve">The model defines all cost components </w:t>
      </w:r>
      <w:r w:rsidR="008F61AC">
        <w:rPr>
          <w:lang w:val="en-US"/>
        </w:rPr>
        <w:t xml:space="preserve">that need to be covered to provide PHC services. These cost components are used </w:t>
      </w:r>
      <w:r w:rsidR="00543E39">
        <w:rPr>
          <w:lang w:val="en-US"/>
        </w:rPr>
        <w:t xml:space="preserve">in </w:t>
      </w:r>
      <w:r w:rsidR="00B46818">
        <w:rPr>
          <w:lang w:val="en-US"/>
        </w:rPr>
        <w:t>developing</w:t>
      </w:r>
      <w:r w:rsidR="00ED6855">
        <w:rPr>
          <w:lang w:val="en-US"/>
        </w:rPr>
        <w:t xml:space="preserve"> a payment design that would create </w:t>
      </w:r>
      <w:r w:rsidR="002D0101">
        <w:rPr>
          <w:lang w:val="en-US"/>
        </w:rPr>
        <w:t>incentives</w:t>
      </w:r>
      <w:r w:rsidR="004639AB">
        <w:rPr>
          <w:lang w:val="en-US"/>
        </w:rPr>
        <w:t xml:space="preserve"> to increase service delivery and quality</w:t>
      </w:r>
      <w:r w:rsidR="008525DC">
        <w:rPr>
          <w:lang w:val="en-US"/>
        </w:rPr>
        <w:t xml:space="preserve"> at PHC level</w:t>
      </w:r>
      <w:r w:rsidR="00B315A1">
        <w:rPr>
          <w:lang w:val="en-US"/>
        </w:rPr>
        <w:t>.</w:t>
      </w:r>
      <w:r w:rsidR="00F661D5">
        <w:rPr>
          <w:lang w:val="en-US"/>
        </w:rPr>
        <w:t xml:space="preserve"> </w:t>
      </w:r>
      <w:r w:rsidR="00ED7B6B">
        <w:rPr>
          <w:lang w:val="en-US"/>
        </w:rPr>
        <w:t xml:space="preserve">Differences in the healthcare organization were </w:t>
      </w:r>
      <w:r w:rsidR="00B46818">
        <w:rPr>
          <w:lang w:val="en-US"/>
        </w:rPr>
        <w:t>considered</w:t>
      </w:r>
      <w:r w:rsidR="00ED7B6B">
        <w:rPr>
          <w:lang w:val="en-US"/>
        </w:rPr>
        <w:t xml:space="preserve"> </w:t>
      </w:r>
      <w:r w:rsidR="006319B4">
        <w:rPr>
          <w:lang w:val="en-US"/>
        </w:rPr>
        <w:t xml:space="preserve">so the </w:t>
      </w:r>
      <w:r w:rsidR="00174167">
        <w:rPr>
          <w:lang w:val="en-US"/>
        </w:rPr>
        <w:t xml:space="preserve">payment design and costing model would fit the needs of Georgia. </w:t>
      </w:r>
      <w:r w:rsidR="009D5730">
        <w:rPr>
          <w:lang w:val="en-US"/>
        </w:rPr>
        <w:t>The main aim was to develop payment design that would</w:t>
      </w:r>
      <w:r w:rsidR="001E3DEB">
        <w:rPr>
          <w:lang w:val="en-US"/>
        </w:rPr>
        <w:t xml:space="preserve"> enable </w:t>
      </w:r>
      <w:r w:rsidR="00355074">
        <w:rPr>
          <w:lang w:val="en-US"/>
        </w:rPr>
        <w:t>equal access to</w:t>
      </w:r>
      <w:r w:rsidR="001E3DEB">
        <w:rPr>
          <w:lang w:val="en-US"/>
        </w:rPr>
        <w:t xml:space="preserve"> PHC services to entire population without creating financial </w:t>
      </w:r>
      <w:r w:rsidR="00355074">
        <w:rPr>
          <w:lang w:val="en-US"/>
        </w:rPr>
        <w:t>hardship</w:t>
      </w:r>
      <w:r w:rsidR="001E3DEB">
        <w:rPr>
          <w:lang w:val="en-US"/>
        </w:rPr>
        <w:t>.</w:t>
      </w:r>
    </w:p>
    <w:p w14:paraId="6F439A33" w14:textId="77777777" w:rsidR="00A832FC" w:rsidRPr="00681EA9" w:rsidRDefault="00A832FC" w:rsidP="002E590D">
      <w:pPr>
        <w:spacing w:after="0" w:line="240" w:lineRule="auto"/>
        <w:jc w:val="both"/>
        <w:rPr>
          <w:lang w:val="en-US"/>
        </w:rPr>
      </w:pPr>
    </w:p>
    <w:p w14:paraId="6AED58FB" w14:textId="3DC52C24" w:rsidR="00B03114" w:rsidRPr="00681EA9" w:rsidRDefault="003A766C" w:rsidP="002E590D">
      <w:pPr>
        <w:pStyle w:val="Heading2"/>
        <w:spacing w:before="0" w:line="240" w:lineRule="auto"/>
        <w:ind w:firstLine="708"/>
        <w:rPr>
          <w:b/>
          <w:bCs/>
          <w:i/>
          <w:iCs/>
          <w:color w:val="auto"/>
          <w:lang w:val="en-US"/>
        </w:rPr>
      </w:pPr>
      <w:bookmarkStart w:id="8" w:name="_Toc62149248"/>
      <w:r w:rsidRPr="00681EA9">
        <w:rPr>
          <w:b/>
          <w:bCs/>
          <w:i/>
          <w:iCs/>
          <w:color w:val="auto"/>
          <w:lang w:val="en-US"/>
        </w:rPr>
        <w:t xml:space="preserve">4.1 </w:t>
      </w:r>
      <w:r w:rsidR="00ED7F31" w:rsidRPr="00681EA9">
        <w:rPr>
          <w:b/>
          <w:bCs/>
          <w:i/>
          <w:iCs/>
          <w:color w:val="auto"/>
          <w:lang w:val="en-US"/>
        </w:rPr>
        <w:t>C</w:t>
      </w:r>
      <w:r w:rsidR="004D1339" w:rsidRPr="00681EA9">
        <w:rPr>
          <w:b/>
          <w:bCs/>
          <w:i/>
          <w:iCs/>
          <w:color w:val="auto"/>
          <w:lang w:val="en-US"/>
        </w:rPr>
        <w:t>osting</w:t>
      </w:r>
      <w:r w:rsidR="00ED7F31" w:rsidRPr="00681EA9">
        <w:rPr>
          <w:b/>
          <w:bCs/>
          <w:i/>
          <w:iCs/>
          <w:color w:val="auto"/>
          <w:lang w:val="en-US"/>
        </w:rPr>
        <w:t xml:space="preserve"> methodology</w:t>
      </w:r>
      <w:bookmarkEnd w:id="8"/>
    </w:p>
    <w:p w14:paraId="7728F0A9" w14:textId="13617CEF" w:rsidR="00FC00C6" w:rsidRDefault="5F90F8CA" w:rsidP="002E590D">
      <w:pPr>
        <w:spacing w:after="0" w:line="240" w:lineRule="auto"/>
        <w:jc w:val="both"/>
        <w:rPr>
          <w:lang w:val="en-GB"/>
        </w:rPr>
      </w:pPr>
      <w:r w:rsidRPr="003D1533">
        <w:rPr>
          <w:lang w:val="en-US"/>
        </w:rPr>
        <w:t xml:space="preserve">Based on the policy objectives, the </w:t>
      </w:r>
      <w:r w:rsidR="4781288F" w:rsidRPr="003D1533">
        <w:rPr>
          <w:lang w:val="en-US"/>
        </w:rPr>
        <w:t xml:space="preserve">proposed model is </w:t>
      </w:r>
      <w:r w:rsidR="2D206B4B" w:rsidRPr="003D1533">
        <w:rPr>
          <w:lang w:val="en-US"/>
        </w:rPr>
        <w:t xml:space="preserve">developed </w:t>
      </w:r>
      <w:r w:rsidR="4781288F" w:rsidRPr="003D1533">
        <w:rPr>
          <w:lang w:val="en-US"/>
        </w:rPr>
        <w:t xml:space="preserve">from a provider perspective using a </w:t>
      </w:r>
      <w:r w:rsidR="008964B8" w:rsidRPr="003D1533">
        <w:rPr>
          <w:lang w:val="en-US"/>
        </w:rPr>
        <w:t>bottom</w:t>
      </w:r>
      <w:r w:rsidR="4781288F" w:rsidRPr="003D1533">
        <w:rPr>
          <w:lang w:val="en-US"/>
        </w:rPr>
        <w:t>-</w:t>
      </w:r>
      <w:r w:rsidR="008964B8" w:rsidRPr="003D1533">
        <w:rPr>
          <w:lang w:val="en-US"/>
        </w:rPr>
        <w:t>up</w:t>
      </w:r>
      <w:r w:rsidR="4781288F" w:rsidRPr="003D1533">
        <w:rPr>
          <w:lang w:val="en-US"/>
        </w:rPr>
        <w:t xml:space="preserve"> approach.</w:t>
      </w:r>
      <w:r w:rsidR="7B9D83C5" w:rsidRPr="003D1533">
        <w:rPr>
          <w:lang w:val="en-US"/>
        </w:rPr>
        <w:t xml:space="preserve"> </w:t>
      </w:r>
      <w:r w:rsidR="47F11D52" w:rsidRPr="003D1533">
        <w:rPr>
          <w:lang w:val="en-US"/>
        </w:rPr>
        <w:t>Costing can be conducted from a variety of perspectives</w:t>
      </w:r>
      <w:r w:rsidR="2DAC090E" w:rsidRPr="003D1533">
        <w:rPr>
          <w:lang w:val="en-US"/>
        </w:rPr>
        <w:t xml:space="preserve"> (</w:t>
      </w:r>
      <w:r w:rsidR="3D42040C" w:rsidRPr="003D1533">
        <w:rPr>
          <w:lang w:val="en-US"/>
        </w:rPr>
        <w:t xml:space="preserve">e.g. </w:t>
      </w:r>
      <w:r w:rsidR="2DAC090E" w:rsidRPr="003D1533">
        <w:rPr>
          <w:lang w:val="en-US"/>
        </w:rPr>
        <w:t>patient, provider, purchaser, societal)</w:t>
      </w:r>
      <w:r w:rsidR="47F11D52" w:rsidRPr="003D1533">
        <w:rPr>
          <w:lang w:val="en-US"/>
        </w:rPr>
        <w:t xml:space="preserve"> and determines the types</w:t>
      </w:r>
      <w:r w:rsidR="47F11D52" w:rsidRPr="5CBA03F3">
        <w:rPr>
          <w:lang w:val="en-GB"/>
        </w:rPr>
        <w:t xml:space="preserve"> of costs that should be </w:t>
      </w:r>
      <w:r w:rsidR="555D9292" w:rsidRPr="5CBA03F3">
        <w:rPr>
          <w:lang w:val="en-GB"/>
        </w:rPr>
        <w:t>considered</w:t>
      </w:r>
      <w:r w:rsidR="47F11D52" w:rsidRPr="5CBA03F3">
        <w:rPr>
          <w:lang w:val="en-GB"/>
        </w:rPr>
        <w:t xml:space="preserve">. </w:t>
      </w:r>
      <w:r w:rsidR="056B9C51" w:rsidRPr="5CBA03F3">
        <w:rPr>
          <w:lang w:val="en-GB"/>
        </w:rPr>
        <w:t>Purchaser</w:t>
      </w:r>
      <w:r w:rsidR="24987E9F" w:rsidRPr="5CBA03F3">
        <w:rPr>
          <w:lang w:val="en-GB"/>
        </w:rPr>
        <w:t xml:space="preserve"> perspective estimates </w:t>
      </w:r>
      <w:r w:rsidR="00FC00C6" w:rsidRPr="5CBA03F3">
        <w:rPr>
          <w:lang w:val="en-GB"/>
        </w:rPr>
        <w:t xml:space="preserve">the cost of covering a service for beneficiaries, </w:t>
      </w:r>
      <w:r w:rsidR="03857844" w:rsidRPr="5CBA03F3">
        <w:rPr>
          <w:lang w:val="en-GB"/>
        </w:rPr>
        <w:t xml:space="preserve">whereas </w:t>
      </w:r>
      <w:r w:rsidR="00FC00C6" w:rsidRPr="5CBA03F3">
        <w:rPr>
          <w:lang w:val="en-GB"/>
        </w:rPr>
        <w:t>provider perspective estimate</w:t>
      </w:r>
      <w:r w:rsidR="71B803A5" w:rsidRPr="5CBA03F3">
        <w:rPr>
          <w:lang w:val="en-GB"/>
        </w:rPr>
        <w:t>s</w:t>
      </w:r>
      <w:r w:rsidR="00FC00C6" w:rsidRPr="5CBA03F3">
        <w:rPr>
          <w:lang w:val="en-GB"/>
        </w:rPr>
        <w:t xml:space="preserve"> the cost of delivering the service. The provider perspective gives a more complete picture of total </w:t>
      </w:r>
      <w:r w:rsidR="3CF0D365" w:rsidRPr="5CBA03F3">
        <w:rPr>
          <w:lang w:val="en-GB"/>
        </w:rPr>
        <w:t>costs and</w:t>
      </w:r>
      <w:r w:rsidR="29AF6C6D" w:rsidRPr="5CBA03F3">
        <w:rPr>
          <w:lang w:val="en-GB"/>
        </w:rPr>
        <w:t xml:space="preserve"> </w:t>
      </w:r>
      <w:r w:rsidR="00FC00C6" w:rsidRPr="5CBA03F3">
        <w:rPr>
          <w:lang w:val="en-GB"/>
        </w:rPr>
        <w:t>is</w:t>
      </w:r>
      <w:r w:rsidR="455A2046" w:rsidRPr="5CBA03F3">
        <w:rPr>
          <w:lang w:val="en-GB"/>
        </w:rPr>
        <w:t xml:space="preserve"> </w:t>
      </w:r>
      <w:r w:rsidR="00FC00C6" w:rsidRPr="5CBA03F3">
        <w:rPr>
          <w:lang w:val="en-GB"/>
        </w:rPr>
        <w:t>used most often in costing exercises. Cost</w:t>
      </w:r>
      <w:r w:rsidR="4858220C" w:rsidRPr="5CBA03F3">
        <w:rPr>
          <w:lang w:val="en-GB"/>
        </w:rPr>
        <w:t>s</w:t>
      </w:r>
      <w:r w:rsidR="00FC00C6" w:rsidRPr="5CBA03F3">
        <w:rPr>
          <w:lang w:val="en-GB"/>
        </w:rPr>
        <w:t xml:space="preserve"> not paid by the purchaser can be excluded </w:t>
      </w:r>
      <w:r w:rsidR="7759E797" w:rsidRPr="5CBA03F3">
        <w:rPr>
          <w:lang w:val="en-GB"/>
        </w:rPr>
        <w:t xml:space="preserve">from </w:t>
      </w:r>
      <w:r w:rsidR="00FC00C6" w:rsidRPr="5CBA03F3">
        <w:rPr>
          <w:lang w:val="en-GB"/>
        </w:rPr>
        <w:t>the analysis.</w:t>
      </w:r>
      <w:r w:rsidR="008008CF">
        <w:rPr>
          <w:rStyle w:val="FootnoteReference"/>
          <w:lang w:val="en-GB"/>
        </w:rPr>
        <w:footnoteReference w:id="4"/>
      </w:r>
    </w:p>
    <w:p w14:paraId="09CC0C81" w14:textId="77777777" w:rsidR="003A766C" w:rsidRPr="005053C3" w:rsidRDefault="003A766C" w:rsidP="002E590D">
      <w:pPr>
        <w:spacing w:after="0" w:line="240" w:lineRule="auto"/>
        <w:jc w:val="both"/>
        <w:rPr>
          <w:rStyle w:val="EndnoteReference"/>
          <w:lang w:val="en-GB"/>
        </w:rPr>
      </w:pPr>
    </w:p>
    <w:p w14:paraId="01712DDA" w14:textId="0175188A" w:rsidR="00FC00C6" w:rsidRDefault="5A98AFB1" w:rsidP="002E590D">
      <w:pPr>
        <w:spacing w:after="0" w:line="240" w:lineRule="auto"/>
        <w:jc w:val="both"/>
        <w:rPr>
          <w:lang w:val="en-GB"/>
        </w:rPr>
      </w:pPr>
      <w:r w:rsidRPr="005053C3">
        <w:rPr>
          <w:lang w:val="en-GB"/>
        </w:rPr>
        <w:t>P</w:t>
      </w:r>
      <w:r w:rsidR="00FC00C6" w:rsidRPr="005053C3">
        <w:rPr>
          <w:lang w:val="en-GB"/>
        </w:rPr>
        <w:t xml:space="preserve">atient perspective </w:t>
      </w:r>
      <w:r w:rsidR="32CDD33A" w:rsidRPr="005053C3">
        <w:rPr>
          <w:lang w:val="en-GB"/>
        </w:rPr>
        <w:t xml:space="preserve">examines </w:t>
      </w:r>
      <w:r w:rsidR="00FC00C6" w:rsidRPr="005053C3">
        <w:rPr>
          <w:lang w:val="en-GB"/>
        </w:rPr>
        <w:t>out-of-pocket spending on health care services</w:t>
      </w:r>
      <w:r w:rsidR="29B4A2BB" w:rsidRPr="005053C3">
        <w:rPr>
          <w:lang w:val="en-GB"/>
        </w:rPr>
        <w:t xml:space="preserve"> and</w:t>
      </w:r>
      <w:r w:rsidR="00FC00C6" w:rsidRPr="005053C3">
        <w:rPr>
          <w:lang w:val="en-GB"/>
        </w:rPr>
        <w:t xml:space="preserve"> may be useful to understand costs </w:t>
      </w:r>
      <w:r w:rsidR="0F1C7575" w:rsidRPr="005053C3">
        <w:rPr>
          <w:lang w:val="en-GB"/>
        </w:rPr>
        <w:t xml:space="preserve">incurred by </w:t>
      </w:r>
      <w:r w:rsidR="00FC00C6" w:rsidRPr="005053C3">
        <w:rPr>
          <w:lang w:val="en-GB"/>
        </w:rPr>
        <w:t xml:space="preserve">the patient. For example, if a purchaser plans to </w:t>
      </w:r>
      <w:r w:rsidR="79DAC1A8" w:rsidRPr="005053C3">
        <w:rPr>
          <w:lang w:val="en-GB"/>
        </w:rPr>
        <w:t>add</w:t>
      </w:r>
      <w:r w:rsidR="00FC00C6" w:rsidRPr="005053C3">
        <w:rPr>
          <w:lang w:val="en-GB"/>
        </w:rPr>
        <w:t xml:space="preserve"> services </w:t>
      </w:r>
      <w:r w:rsidR="45D3172C" w:rsidRPr="005053C3">
        <w:rPr>
          <w:lang w:val="en-GB"/>
        </w:rPr>
        <w:t>to</w:t>
      </w:r>
      <w:r w:rsidR="00FC00C6" w:rsidRPr="005053C3">
        <w:rPr>
          <w:lang w:val="en-GB"/>
        </w:rPr>
        <w:t xml:space="preserve"> the benefits package, information about patient spending on these services can help determine </w:t>
      </w:r>
      <w:r w:rsidR="03C9CFDD" w:rsidRPr="005053C3">
        <w:rPr>
          <w:lang w:val="en-GB"/>
        </w:rPr>
        <w:t xml:space="preserve">the budget needed </w:t>
      </w:r>
      <w:r w:rsidR="00FC00C6" w:rsidRPr="005053C3">
        <w:rPr>
          <w:lang w:val="en-GB"/>
        </w:rPr>
        <w:t>to cover these costs.</w:t>
      </w:r>
      <w:r w:rsidR="00010527">
        <w:rPr>
          <w:rStyle w:val="FootnoteReference"/>
          <w:lang w:val="en-GB"/>
        </w:rPr>
        <w:footnoteReference w:id="5"/>
      </w:r>
      <w:r w:rsidR="00FC00C6" w:rsidRPr="005053C3">
        <w:rPr>
          <w:lang w:val="en-GB"/>
        </w:rPr>
        <w:t xml:space="preserve"> </w:t>
      </w:r>
    </w:p>
    <w:p w14:paraId="56BF04AA" w14:textId="77777777" w:rsidR="00010527" w:rsidRPr="005053C3" w:rsidRDefault="00010527" w:rsidP="002E590D">
      <w:pPr>
        <w:spacing w:after="0" w:line="240" w:lineRule="auto"/>
        <w:jc w:val="both"/>
        <w:rPr>
          <w:lang w:val="en-GB"/>
        </w:rPr>
      </w:pPr>
    </w:p>
    <w:p w14:paraId="6232E3DA" w14:textId="6F490560" w:rsidR="00FC00C6" w:rsidRDefault="4FE20742" w:rsidP="002E590D">
      <w:pPr>
        <w:spacing w:after="0" w:line="240" w:lineRule="auto"/>
        <w:jc w:val="both"/>
        <w:rPr>
          <w:lang w:val="en-GB"/>
        </w:rPr>
      </w:pPr>
      <w:r w:rsidRPr="005053C3">
        <w:rPr>
          <w:lang w:val="en-GB"/>
        </w:rPr>
        <w:t>Costing</w:t>
      </w:r>
      <w:r w:rsidR="71241631" w:rsidRPr="005053C3">
        <w:rPr>
          <w:lang w:val="en-GB"/>
        </w:rPr>
        <w:t xml:space="preserve"> tools take either a top-down or bottom-up approach to determine</w:t>
      </w:r>
      <w:r w:rsidR="00FC00C6" w:rsidRPr="005053C3">
        <w:rPr>
          <w:lang w:val="en-GB"/>
        </w:rPr>
        <w:t xml:space="preserve"> provider payment rate</w:t>
      </w:r>
      <w:r w:rsidR="0849C894" w:rsidRPr="005053C3">
        <w:rPr>
          <w:lang w:val="en-GB"/>
        </w:rPr>
        <w:t>s</w:t>
      </w:r>
      <w:r w:rsidR="00FC00C6" w:rsidRPr="005053C3">
        <w:rPr>
          <w:lang w:val="en-GB"/>
        </w:rPr>
        <w:t xml:space="preserve">. </w:t>
      </w:r>
      <w:r w:rsidR="323AF484" w:rsidRPr="005053C3">
        <w:rPr>
          <w:lang w:val="en-GB"/>
        </w:rPr>
        <w:t xml:space="preserve">The </w:t>
      </w:r>
      <w:r w:rsidR="76D9D1EC" w:rsidRPr="005053C3">
        <w:rPr>
          <w:lang w:val="en-GB"/>
        </w:rPr>
        <w:t>b</w:t>
      </w:r>
      <w:r w:rsidR="00FC00C6" w:rsidRPr="005053C3">
        <w:rPr>
          <w:lang w:val="en-GB"/>
        </w:rPr>
        <w:t xml:space="preserve">ottom-up approach relies on detailed costing at the service or patient level while the top-down approach relies on average costing. Bottom-up costing documents the specific resources used to deliver a </w:t>
      </w:r>
      <w:r w:rsidR="78A4B0CA" w:rsidRPr="005053C3">
        <w:rPr>
          <w:lang w:val="en-GB"/>
        </w:rPr>
        <w:t>specific</w:t>
      </w:r>
      <w:r w:rsidR="00FC00C6" w:rsidRPr="005053C3">
        <w:rPr>
          <w:lang w:val="en-GB"/>
        </w:rPr>
        <w:t xml:space="preserve"> service or to treat a type of patient. This </w:t>
      </w:r>
      <w:r w:rsidR="2147D5FE" w:rsidRPr="005053C3">
        <w:rPr>
          <w:lang w:val="en-GB"/>
        </w:rPr>
        <w:t xml:space="preserve">approach </w:t>
      </w:r>
      <w:r w:rsidR="00FC00C6" w:rsidRPr="005053C3">
        <w:rPr>
          <w:lang w:val="en-GB"/>
        </w:rPr>
        <w:t xml:space="preserve">calculates total cost per </w:t>
      </w:r>
      <w:r w:rsidR="684EE330" w:rsidRPr="005053C3">
        <w:rPr>
          <w:lang w:val="en-GB"/>
        </w:rPr>
        <w:t>intervention</w:t>
      </w:r>
      <w:r w:rsidR="00FC00C6" w:rsidRPr="005053C3">
        <w:rPr>
          <w:lang w:val="en-GB"/>
        </w:rPr>
        <w:t xml:space="preserve">, </w:t>
      </w:r>
      <w:r w:rsidR="6216687D" w:rsidRPr="005053C3">
        <w:rPr>
          <w:lang w:val="en-GB"/>
        </w:rPr>
        <w:t xml:space="preserve">and </w:t>
      </w:r>
      <w:r w:rsidR="00FC00C6" w:rsidRPr="005053C3">
        <w:rPr>
          <w:lang w:val="en-GB"/>
        </w:rPr>
        <w:t xml:space="preserve">through </w:t>
      </w:r>
      <w:r w:rsidR="1FA3EA70" w:rsidRPr="005053C3">
        <w:rPr>
          <w:lang w:val="en-GB"/>
        </w:rPr>
        <w:t xml:space="preserve">multiplying standard </w:t>
      </w:r>
      <w:r w:rsidR="00FC00C6" w:rsidRPr="005053C3">
        <w:rPr>
          <w:lang w:val="en-GB"/>
        </w:rPr>
        <w:t>cost</w:t>
      </w:r>
      <w:r w:rsidR="2EB0A42E" w:rsidRPr="005053C3">
        <w:rPr>
          <w:lang w:val="en-GB"/>
        </w:rPr>
        <w:t>s</w:t>
      </w:r>
      <w:r w:rsidR="00FC00C6" w:rsidRPr="005053C3">
        <w:rPr>
          <w:lang w:val="en-GB"/>
        </w:rPr>
        <w:t>, constructs an average cost for the service or patient type. The top-down approach, on the other hand, first documents total facility cost</w:t>
      </w:r>
      <w:r w:rsidR="58BB2354" w:rsidRPr="005053C3">
        <w:rPr>
          <w:lang w:val="en-GB"/>
        </w:rPr>
        <w:t>s</w:t>
      </w:r>
      <w:r w:rsidR="00FC00C6" w:rsidRPr="005053C3">
        <w:rPr>
          <w:lang w:val="en-GB"/>
        </w:rPr>
        <w:t xml:space="preserve"> and then allocates the total cost down to departments and finally to </w:t>
      </w:r>
      <w:r w:rsidR="0C00C885" w:rsidRPr="005053C3">
        <w:rPr>
          <w:lang w:val="en-GB"/>
        </w:rPr>
        <w:t>patients'</w:t>
      </w:r>
      <w:r w:rsidR="00FC00C6" w:rsidRPr="005053C3">
        <w:rPr>
          <w:lang w:val="en-GB"/>
        </w:rPr>
        <w:t xml:space="preserve"> treatment by dividing total department costs by the number of patients treated.</w:t>
      </w:r>
      <w:r w:rsidR="00010527">
        <w:rPr>
          <w:rStyle w:val="FootnoteReference"/>
          <w:lang w:val="en-GB"/>
        </w:rPr>
        <w:footnoteReference w:id="6"/>
      </w:r>
    </w:p>
    <w:p w14:paraId="4804F699" w14:textId="77777777" w:rsidR="00010527" w:rsidRDefault="00010527" w:rsidP="002E590D">
      <w:pPr>
        <w:spacing w:after="0" w:line="240" w:lineRule="auto"/>
        <w:jc w:val="both"/>
        <w:rPr>
          <w:lang w:val="en-GB"/>
        </w:rPr>
      </w:pPr>
    </w:p>
    <w:p w14:paraId="20BC3DAA" w14:textId="1F71113D" w:rsidR="006C6CBA" w:rsidRPr="00681EA9" w:rsidRDefault="00010527" w:rsidP="002E590D">
      <w:pPr>
        <w:pStyle w:val="Heading2"/>
        <w:spacing w:before="0" w:line="240" w:lineRule="auto"/>
        <w:ind w:firstLine="708"/>
        <w:rPr>
          <w:b/>
          <w:bCs/>
          <w:i/>
          <w:iCs/>
          <w:color w:val="auto"/>
          <w:lang w:val="en-GB"/>
        </w:rPr>
      </w:pPr>
      <w:bookmarkStart w:id="9" w:name="_Toc62149249"/>
      <w:r w:rsidRPr="00681EA9">
        <w:rPr>
          <w:b/>
          <w:bCs/>
          <w:i/>
          <w:iCs/>
          <w:color w:val="auto"/>
          <w:lang w:val="en-GB"/>
        </w:rPr>
        <w:t xml:space="preserve">4.2 </w:t>
      </w:r>
      <w:r w:rsidR="006C6CBA" w:rsidRPr="00681EA9">
        <w:rPr>
          <w:b/>
          <w:bCs/>
          <w:i/>
          <w:iCs/>
          <w:color w:val="auto"/>
          <w:lang w:val="en-GB"/>
        </w:rPr>
        <w:t>Cost</w:t>
      </w:r>
      <w:r w:rsidR="004D1339" w:rsidRPr="00681EA9">
        <w:rPr>
          <w:b/>
          <w:bCs/>
          <w:i/>
          <w:iCs/>
          <w:color w:val="auto"/>
          <w:lang w:val="en-GB"/>
        </w:rPr>
        <w:t xml:space="preserve"> data</w:t>
      </w:r>
      <w:bookmarkEnd w:id="9"/>
    </w:p>
    <w:p w14:paraId="1B8C4CB7" w14:textId="3F9169F8" w:rsidR="00FC00C6" w:rsidRDefault="1AE45ED9" w:rsidP="002E590D">
      <w:pPr>
        <w:spacing w:after="0" w:line="240" w:lineRule="auto"/>
        <w:jc w:val="both"/>
        <w:rPr>
          <w:lang w:val="en-GB"/>
        </w:rPr>
      </w:pPr>
      <w:r w:rsidRPr="00681EA9">
        <w:rPr>
          <w:lang w:val="en-GB"/>
        </w:rPr>
        <w:t xml:space="preserve">For the purposes of this </w:t>
      </w:r>
      <w:r w:rsidR="00FC00C6" w:rsidRPr="00681EA9">
        <w:rPr>
          <w:lang w:val="en-GB"/>
        </w:rPr>
        <w:t xml:space="preserve">costing exercise, </w:t>
      </w:r>
      <w:r w:rsidR="001F3669" w:rsidRPr="00681EA9">
        <w:rPr>
          <w:lang w:val="en-GB"/>
        </w:rPr>
        <w:t>a</w:t>
      </w:r>
      <w:r w:rsidR="79D4C7E4" w:rsidRPr="00681EA9">
        <w:rPr>
          <w:lang w:val="en-GB"/>
        </w:rPr>
        <w:t xml:space="preserve"> </w:t>
      </w:r>
      <w:r w:rsidR="5C027516" w:rsidRPr="00681EA9">
        <w:rPr>
          <w:lang w:val="en-GB"/>
        </w:rPr>
        <w:t>bottom-up approach</w:t>
      </w:r>
      <w:r w:rsidR="001F3669" w:rsidRPr="00681EA9">
        <w:rPr>
          <w:lang w:val="en-GB"/>
        </w:rPr>
        <w:t xml:space="preserve"> was used.</w:t>
      </w:r>
      <w:r w:rsidR="001355A7" w:rsidRPr="00681EA9">
        <w:rPr>
          <w:lang w:val="en-GB"/>
        </w:rPr>
        <w:t xml:space="preserve"> Normative assumptions and provider level </w:t>
      </w:r>
      <w:r w:rsidR="00FD122C" w:rsidRPr="00681EA9">
        <w:rPr>
          <w:lang w:val="en-GB"/>
        </w:rPr>
        <w:t>cost data</w:t>
      </w:r>
      <w:r w:rsidR="001355A7" w:rsidRPr="00681EA9">
        <w:rPr>
          <w:lang w:val="en-GB"/>
        </w:rPr>
        <w:t xml:space="preserve"> </w:t>
      </w:r>
      <w:r w:rsidR="006C4EB4" w:rsidRPr="00681EA9">
        <w:rPr>
          <w:lang w:val="en-GB"/>
        </w:rPr>
        <w:t>were</w:t>
      </w:r>
      <w:r w:rsidR="001355A7" w:rsidRPr="00681EA9">
        <w:rPr>
          <w:lang w:val="en-GB"/>
        </w:rPr>
        <w:t xml:space="preserve"> used for certain cost inputs and to verify normative assumptions</w:t>
      </w:r>
      <w:r w:rsidR="00546139" w:rsidRPr="00681EA9">
        <w:rPr>
          <w:lang w:val="en-GB"/>
        </w:rPr>
        <w:t>.</w:t>
      </w:r>
      <w:r w:rsidR="00FC00C6" w:rsidRPr="00681EA9">
        <w:rPr>
          <w:lang w:val="en-GB"/>
        </w:rPr>
        <w:t xml:space="preserve"> </w:t>
      </w:r>
      <w:r w:rsidR="009D4613" w:rsidRPr="00681EA9">
        <w:rPr>
          <w:lang w:val="en-GB"/>
        </w:rPr>
        <w:t>Cost data was collected form</w:t>
      </w:r>
      <w:r w:rsidR="00AB465A" w:rsidRPr="00681EA9">
        <w:rPr>
          <w:lang w:val="en-GB"/>
        </w:rPr>
        <w:t xml:space="preserve"> 9</w:t>
      </w:r>
      <w:r w:rsidR="009D4613" w:rsidRPr="00681EA9">
        <w:rPr>
          <w:lang w:val="en-GB"/>
        </w:rPr>
        <w:t xml:space="preserve"> PHC providers. </w:t>
      </w:r>
      <w:r w:rsidR="00FA21D3" w:rsidRPr="00681EA9">
        <w:rPr>
          <w:lang w:val="en-GB"/>
        </w:rPr>
        <w:t>The p</w:t>
      </w:r>
      <w:r w:rsidR="00FC00C6" w:rsidRPr="00681EA9">
        <w:rPr>
          <w:lang w:val="en-GB"/>
        </w:rPr>
        <w:t xml:space="preserve">roviders were </w:t>
      </w:r>
      <w:r w:rsidR="4263399B" w:rsidRPr="00681EA9">
        <w:rPr>
          <w:lang w:val="en-GB"/>
        </w:rPr>
        <w:t xml:space="preserve">purposefully </w:t>
      </w:r>
      <w:r w:rsidR="00FC00C6" w:rsidRPr="00681EA9">
        <w:rPr>
          <w:lang w:val="en-GB"/>
        </w:rPr>
        <w:t xml:space="preserve">selected </w:t>
      </w:r>
      <w:r w:rsidR="5FE269B0" w:rsidRPr="00681EA9">
        <w:rPr>
          <w:lang w:val="en-GB"/>
        </w:rPr>
        <w:t xml:space="preserve">to represent large and small </w:t>
      </w:r>
      <w:r w:rsidR="00FC00C6" w:rsidRPr="00681EA9">
        <w:rPr>
          <w:lang w:val="en-GB"/>
        </w:rPr>
        <w:t xml:space="preserve">practices from different </w:t>
      </w:r>
      <w:r w:rsidR="5CF3919D" w:rsidRPr="00681EA9">
        <w:rPr>
          <w:lang w:val="en-GB"/>
        </w:rPr>
        <w:t xml:space="preserve">regions </w:t>
      </w:r>
      <w:r w:rsidR="00FC00C6" w:rsidRPr="00E740E7">
        <w:rPr>
          <w:lang w:val="en-GB"/>
        </w:rPr>
        <w:t>of the country (rural and urban). The data</w:t>
      </w:r>
      <w:r w:rsidR="00FC00C6" w:rsidRPr="5CBA03F3">
        <w:rPr>
          <w:lang w:val="en-GB"/>
        </w:rPr>
        <w:t xml:space="preserve"> was collected with the help of pre-defined descriptions of different cost object</w:t>
      </w:r>
      <w:r w:rsidR="3149C14F" w:rsidRPr="5CBA03F3">
        <w:rPr>
          <w:lang w:val="en-GB"/>
        </w:rPr>
        <w:t>s</w:t>
      </w:r>
      <w:r w:rsidR="00FC00C6" w:rsidRPr="5CBA03F3">
        <w:rPr>
          <w:lang w:val="en-GB"/>
        </w:rPr>
        <w:t xml:space="preserve"> </w:t>
      </w:r>
      <w:r w:rsidR="63F80169" w:rsidRPr="5CBA03F3">
        <w:rPr>
          <w:lang w:val="en-GB"/>
        </w:rPr>
        <w:t>related to the</w:t>
      </w:r>
      <w:r w:rsidR="00FC00C6" w:rsidRPr="5CBA03F3">
        <w:rPr>
          <w:lang w:val="en-GB"/>
        </w:rPr>
        <w:t xml:space="preserve"> </w:t>
      </w:r>
      <w:r w:rsidR="1BF1C42E" w:rsidRPr="5CBA03F3">
        <w:rPr>
          <w:lang w:val="en-GB"/>
        </w:rPr>
        <w:t>premise</w:t>
      </w:r>
      <w:r w:rsidR="00FC00C6" w:rsidRPr="5CBA03F3">
        <w:rPr>
          <w:lang w:val="en-GB"/>
        </w:rPr>
        <w:t xml:space="preserve">s, medical equipment, </w:t>
      </w:r>
      <w:r w:rsidR="7DFD46DF" w:rsidRPr="5CBA03F3">
        <w:rPr>
          <w:lang w:val="en-GB"/>
        </w:rPr>
        <w:t xml:space="preserve">medicines, </w:t>
      </w:r>
      <w:r w:rsidR="24105B39" w:rsidRPr="5CBA03F3">
        <w:rPr>
          <w:lang w:val="en-GB"/>
        </w:rPr>
        <w:t>and</w:t>
      </w:r>
      <w:r w:rsidR="00FC00C6" w:rsidRPr="5CBA03F3">
        <w:rPr>
          <w:lang w:val="en-GB"/>
        </w:rPr>
        <w:t xml:space="preserve"> workforce. </w:t>
      </w:r>
      <w:r w:rsidR="59307284" w:rsidRPr="5CBA03F3">
        <w:rPr>
          <w:lang w:val="en-GB"/>
        </w:rPr>
        <w:t xml:space="preserve">See </w:t>
      </w:r>
      <w:r w:rsidR="00866FDD" w:rsidRPr="5CBA03F3">
        <w:rPr>
          <w:lang w:val="en-GB"/>
        </w:rPr>
        <w:t>A</w:t>
      </w:r>
      <w:r w:rsidR="59307284" w:rsidRPr="5CBA03F3">
        <w:rPr>
          <w:lang w:val="en-GB"/>
        </w:rPr>
        <w:t xml:space="preserve">nnex </w:t>
      </w:r>
      <w:r w:rsidR="00D54144" w:rsidRPr="5CBA03F3">
        <w:rPr>
          <w:lang w:val="en-GB"/>
        </w:rPr>
        <w:t xml:space="preserve">1 </w:t>
      </w:r>
      <w:r w:rsidR="0728B8EA" w:rsidRPr="5CBA03F3">
        <w:rPr>
          <w:lang w:val="en-GB"/>
        </w:rPr>
        <w:t xml:space="preserve">for a description of </w:t>
      </w:r>
      <w:r w:rsidR="4B6D0566" w:rsidRPr="5CBA03F3">
        <w:rPr>
          <w:lang w:val="en-GB"/>
        </w:rPr>
        <w:t>the cost data provided.</w:t>
      </w:r>
      <w:r w:rsidR="70C61C6B" w:rsidRPr="5CBA03F3">
        <w:rPr>
          <w:lang w:val="en-GB"/>
        </w:rPr>
        <w:t xml:space="preserve"> </w:t>
      </w:r>
    </w:p>
    <w:p w14:paraId="6667FB3C" w14:textId="77777777" w:rsidR="003570D0" w:rsidRPr="005053C3" w:rsidRDefault="003570D0" w:rsidP="002E590D">
      <w:pPr>
        <w:spacing w:after="0" w:line="240" w:lineRule="auto"/>
        <w:jc w:val="both"/>
        <w:rPr>
          <w:lang w:val="en-GB"/>
        </w:rPr>
      </w:pPr>
    </w:p>
    <w:p w14:paraId="5617C484" w14:textId="1DC92CF2" w:rsidR="005053C3" w:rsidRDefault="005053C3" w:rsidP="002E590D">
      <w:pPr>
        <w:spacing w:after="0" w:line="240" w:lineRule="auto"/>
        <w:jc w:val="both"/>
        <w:rPr>
          <w:lang w:val="en-GB"/>
        </w:rPr>
      </w:pPr>
      <w:r>
        <w:rPr>
          <w:lang w:val="en-GB"/>
        </w:rPr>
        <w:lastRenderedPageBreak/>
        <w:t>According to the collected data, t</w:t>
      </w:r>
      <w:r w:rsidRPr="7455FEDB">
        <w:rPr>
          <w:lang w:val="en-GB"/>
        </w:rPr>
        <w:t xml:space="preserve">he average patient list per </w:t>
      </w:r>
      <w:r>
        <w:rPr>
          <w:lang w:val="en-GB"/>
        </w:rPr>
        <w:t>FD</w:t>
      </w:r>
      <w:r w:rsidRPr="7455FEDB">
        <w:rPr>
          <w:lang w:val="en-GB"/>
        </w:rPr>
        <w:t xml:space="preserve"> and </w:t>
      </w:r>
      <w:r>
        <w:rPr>
          <w:lang w:val="en-GB"/>
        </w:rPr>
        <w:t>FN</w:t>
      </w:r>
      <w:r w:rsidRPr="7455FEDB">
        <w:rPr>
          <w:lang w:val="en-GB"/>
        </w:rPr>
        <w:t xml:space="preserve"> team was 2</w:t>
      </w:r>
      <w:r w:rsidR="00FA21D3">
        <w:rPr>
          <w:lang w:val="en-GB"/>
        </w:rPr>
        <w:t xml:space="preserve"> </w:t>
      </w:r>
      <w:r w:rsidRPr="7455FEDB">
        <w:rPr>
          <w:lang w:val="en-GB"/>
        </w:rPr>
        <w:t>300 people including rural and urban patients.</w:t>
      </w:r>
      <w:r w:rsidR="00B472DA">
        <w:rPr>
          <w:lang w:val="en-GB"/>
        </w:rPr>
        <w:t xml:space="preserve"> This patient list size is </w:t>
      </w:r>
      <w:r w:rsidR="00003130">
        <w:rPr>
          <w:lang w:val="en-GB"/>
        </w:rPr>
        <w:t>like</w:t>
      </w:r>
      <w:r w:rsidR="00D51C9D">
        <w:rPr>
          <w:lang w:val="en-GB"/>
        </w:rPr>
        <w:t xml:space="preserve"> the average in urban areas, but much higher than in rural areas. There was onl</w:t>
      </w:r>
      <w:r w:rsidR="001C74E0">
        <w:rPr>
          <w:lang w:val="en-GB"/>
        </w:rPr>
        <w:t>y 1 rural provide included in providing cost data.</w:t>
      </w:r>
      <w:r w:rsidRPr="7455FEDB">
        <w:rPr>
          <w:lang w:val="en-GB"/>
        </w:rPr>
        <w:t xml:space="preserve"> The average annual costs were reported to be around 50</w:t>
      </w:r>
      <w:r w:rsidR="008B080D">
        <w:rPr>
          <w:lang w:val="en-GB"/>
        </w:rPr>
        <w:t xml:space="preserve"> </w:t>
      </w:r>
      <w:r w:rsidRPr="7455FEDB">
        <w:rPr>
          <w:lang w:val="en-GB"/>
        </w:rPr>
        <w:t xml:space="preserve">000 GEL to cover minimum </w:t>
      </w:r>
      <w:r w:rsidRPr="7A318044">
        <w:rPr>
          <w:lang w:val="en-GB"/>
        </w:rPr>
        <w:t>intervention</w:t>
      </w:r>
      <w:r w:rsidRPr="7455FEDB">
        <w:rPr>
          <w:lang w:val="en-GB"/>
        </w:rPr>
        <w:t xml:space="preserve"> and staffing costs (excluding rent, laboratory services or specialist services). This translates into around 1</w:t>
      </w:r>
      <w:r w:rsidR="008B080D">
        <w:rPr>
          <w:lang w:val="en-GB"/>
        </w:rPr>
        <w:t>,</w:t>
      </w:r>
      <w:r w:rsidRPr="7455FEDB">
        <w:rPr>
          <w:lang w:val="en-GB"/>
        </w:rPr>
        <w:t>93 GEL per person per month when including rural populations or 2</w:t>
      </w:r>
      <w:r w:rsidR="008B080D">
        <w:rPr>
          <w:lang w:val="en-GB"/>
        </w:rPr>
        <w:t>,</w:t>
      </w:r>
      <w:r w:rsidRPr="7455FEDB">
        <w:rPr>
          <w:lang w:val="en-GB"/>
        </w:rPr>
        <w:t>30 GEL excluding rural population.</w:t>
      </w:r>
      <w:r w:rsidRPr="7455FEDB">
        <w:rPr>
          <w:rStyle w:val="FootnoteReference"/>
          <w:lang w:val="en-GB"/>
        </w:rPr>
        <w:footnoteReference w:id="7"/>
      </w:r>
      <w:r w:rsidRPr="7455FEDB">
        <w:rPr>
          <w:lang w:val="en-GB"/>
        </w:rPr>
        <w:t xml:space="preserve"> Rent was not included, because the capitalization and rental rates varied </w:t>
      </w:r>
      <w:r>
        <w:rPr>
          <w:lang w:val="en-GB"/>
        </w:rPr>
        <w:t>significantly among providers, as did the</w:t>
      </w:r>
      <w:r w:rsidRPr="7A318044">
        <w:rPr>
          <w:lang w:val="en-GB"/>
        </w:rPr>
        <w:t xml:space="preserve">ir facility </w:t>
      </w:r>
      <w:r>
        <w:rPr>
          <w:lang w:val="en-GB"/>
        </w:rPr>
        <w:t>size</w:t>
      </w:r>
      <w:r w:rsidRPr="7455FEDB">
        <w:rPr>
          <w:lang w:val="en-GB"/>
        </w:rPr>
        <w:t xml:space="preserve">. </w:t>
      </w:r>
    </w:p>
    <w:p w14:paraId="44786CAA" w14:textId="77777777" w:rsidR="008B080D" w:rsidRPr="00BA7723" w:rsidRDefault="008B080D" w:rsidP="002E590D">
      <w:pPr>
        <w:spacing w:after="0" w:line="240" w:lineRule="auto"/>
        <w:jc w:val="both"/>
        <w:rPr>
          <w:lang w:val="en-GB"/>
        </w:rPr>
      </w:pPr>
    </w:p>
    <w:p w14:paraId="097DE121" w14:textId="49CE0B98" w:rsidR="00BF34C1" w:rsidRDefault="36ECD413" w:rsidP="002E590D">
      <w:pPr>
        <w:spacing w:after="0" w:line="240" w:lineRule="auto"/>
        <w:jc w:val="both"/>
        <w:rPr>
          <w:rFonts w:eastAsiaTheme="minorEastAsia"/>
          <w:lang w:val="en-GB"/>
        </w:rPr>
      </w:pPr>
      <w:r w:rsidRPr="005053C3">
        <w:rPr>
          <w:lang w:val="en-GB"/>
        </w:rPr>
        <w:t>D</w:t>
      </w:r>
      <w:r w:rsidR="00FC00C6" w:rsidRPr="005053C3">
        <w:rPr>
          <w:lang w:val="en-GB"/>
        </w:rPr>
        <w:t>ata reported by service providers w</w:t>
      </w:r>
      <w:r w:rsidR="37F39882" w:rsidRPr="005053C3">
        <w:rPr>
          <w:lang w:val="en-GB"/>
        </w:rPr>
        <w:t xml:space="preserve">ere </w:t>
      </w:r>
      <w:r w:rsidR="00FC00C6" w:rsidRPr="005053C3">
        <w:rPr>
          <w:lang w:val="en-GB"/>
        </w:rPr>
        <w:t>compared with current market prices</w:t>
      </w:r>
      <w:r w:rsidR="319F83F6" w:rsidRPr="005053C3">
        <w:rPr>
          <w:lang w:val="en-GB"/>
        </w:rPr>
        <w:t>. E</w:t>
      </w:r>
      <w:r w:rsidR="00FC00C6" w:rsidRPr="005053C3">
        <w:rPr>
          <w:lang w:val="en-GB"/>
        </w:rPr>
        <w:t xml:space="preserve">xpert opinion was used </w:t>
      </w:r>
      <w:r w:rsidR="69F05B96" w:rsidRPr="005053C3">
        <w:rPr>
          <w:lang w:val="en-GB"/>
        </w:rPr>
        <w:t>where</w:t>
      </w:r>
      <w:r w:rsidR="00FC00C6" w:rsidRPr="005053C3">
        <w:rPr>
          <w:lang w:val="en-GB"/>
        </w:rPr>
        <w:t xml:space="preserve"> </w:t>
      </w:r>
      <w:r w:rsidR="15D6D195" w:rsidRPr="005053C3">
        <w:rPr>
          <w:lang w:val="en-GB"/>
        </w:rPr>
        <w:t>the</w:t>
      </w:r>
      <w:r w:rsidR="00FC00C6" w:rsidRPr="005053C3">
        <w:rPr>
          <w:lang w:val="en-GB"/>
        </w:rPr>
        <w:t xml:space="preserve"> </w:t>
      </w:r>
      <w:r w:rsidR="0593533C" w:rsidRPr="005053C3">
        <w:rPr>
          <w:lang w:val="en-GB"/>
        </w:rPr>
        <w:t>data did</w:t>
      </w:r>
      <w:r w:rsidR="00FC00C6" w:rsidRPr="005053C3">
        <w:rPr>
          <w:lang w:val="en-GB"/>
        </w:rPr>
        <w:t xml:space="preserve"> not align</w:t>
      </w:r>
      <w:r w:rsidR="6296E46A" w:rsidRPr="005053C3">
        <w:rPr>
          <w:lang w:val="en-GB"/>
        </w:rPr>
        <w:t xml:space="preserve"> and</w:t>
      </w:r>
      <w:r w:rsidR="1B702516" w:rsidRPr="005053C3">
        <w:rPr>
          <w:lang w:val="en-GB"/>
        </w:rPr>
        <w:t xml:space="preserve"> </w:t>
      </w:r>
      <w:r w:rsidR="6296E46A" w:rsidRPr="005053C3">
        <w:rPr>
          <w:lang w:val="en-GB"/>
        </w:rPr>
        <w:t xml:space="preserve">to </w:t>
      </w:r>
      <w:r w:rsidR="1B702516" w:rsidRPr="005053C3">
        <w:rPr>
          <w:rFonts w:eastAsiaTheme="minorEastAsia"/>
          <w:lang w:val="en-GB"/>
        </w:rPr>
        <w:t>assess</w:t>
      </w:r>
      <w:r w:rsidR="00FC00C6" w:rsidRPr="005053C3">
        <w:rPr>
          <w:rFonts w:eastAsiaTheme="minorEastAsia"/>
          <w:lang w:val="en-GB"/>
        </w:rPr>
        <w:t xml:space="preserve"> the amortization periods </w:t>
      </w:r>
      <w:r w:rsidR="12055A4C" w:rsidRPr="005053C3">
        <w:rPr>
          <w:rFonts w:eastAsiaTheme="minorEastAsia"/>
          <w:lang w:val="en-GB"/>
        </w:rPr>
        <w:t>for</w:t>
      </w:r>
      <w:r w:rsidR="00FC00C6" w:rsidRPr="005053C3">
        <w:rPr>
          <w:rFonts w:eastAsiaTheme="minorEastAsia"/>
          <w:lang w:val="en-GB"/>
        </w:rPr>
        <w:t xml:space="preserve"> medical and office equipment and </w:t>
      </w:r>
      <w:r w:rsidR="0A88D739" w:rsidRPr="005053C3">
        <w:rPr>
          <w:rFonts w:eastAsiaTheme="minorEastAsia"/>
          <w:lang w:val="en-GB"/>
        </w:rPr>
        <w:t xml:space="preserve">quantity </w:t>
      </w:r>
      <w:r w:rsidR="00FC00C6" w:rsidRPr="005053C3">
        <w:rPr>
          <w:rFonts w:eastAsiaTheme="minorEastAsia"/>
          <w:lang w:val="en-GB"/>
        </w:rPr>
        <w:t>of reusable medical devices</w:t>
      </w:r>
      <w:r w:rsidR="3A9E2AE6" w:rsidRPr="005053C3">
        <w:rPr>
          <w:rFonts w:eastAsiaTheme="minorEastAsia"/>
          <w:lang w:val="en-GB"/>
        </w:rPr>
        <w:t>.</w:t>
      </w:r>
    </w:p>
    <w:p w14:paraId="009F96BC" w14:textId="77777777" w:rsidR="008B080D" w:rsidRDefault="008B080D" w:rsidP="002E590D">
      <w:pPr>
        <w:spacing w:after="0" w:line="240" w:lineRule="auto"/>
        <w:jc w:val="both"/>
        <w:rPr>
          <w:rFonts w:eastAsiaTheme="minorEastAsia"/>
          <w:lang w:val="en-GB"/>
        </w:rPr>
      </w:pPr>
    </w:p>
    <w:p w14:paraId="4F46346E" w14:textId="0F0D34B8" w:rsidR="00BF34C1" w:rsidRDefault="00DA79F9" w:rsidP="002E590D">
      <w:pPr>
        <w:spacing w:after="0" w:line="240" w:lineRule="auto"/>
        <w:jc w:val="both"/>
        <w:rPr>
          <w:rFonts w:eastAsiaTheme="minorEastAsia"/>
          <w:lang w:val="en-GB"/>
        </w:rPr>
      </w:pPr>
      <w:r w:rsidRPr="005053C3">
        <w:rPr>
          <w:rFonts w:eastAsiaTheme="minorEastAsia"/>
          <w:lang w:val="en-GB"/>
        </w:rPr>
        <w:t xml:space="preserve">Expert opinion was </w:t>
      </w:r>
      <w:r w:rsidR="00E74698">
        <w:rPr>
          <w:rFonts w:eastAsiaTheme="minorEastAsia"/>
          <w:lang w:val="en-GB"/>
        </w:rPr>
        <w:t xml:space="preserve">also </w:t>
      </w:r>
      <w:r w:rsidRPr="005053C3">
        <w:rPr>
          <w:rFonts w:eastAsiaTheme="minorEastAsia"/>
          <w:lang w:val="en-GB"/>
        </w:rPr>
        <w:t>used to assess the increase or decrease of the costs for group practices.</w:t>
      </w:r>
      <w:r w:rsidR="00870C60">
        <w:rPr>
          <w:rFonts w:eastAsiaTheme="minorEastAsia"/>
          <w:lang w:val="en-GB"/>
        </w:rPr>
        <w:t xml:space="preserve"> </w:t>
      </w:r>
      <w:r w:rsidR="008B4721">
        <w:rPr>
          <w:rFonts w:eastAsiaTheme="minorEastAsia"/>
          <w:lang w:val="en-GB"/>
        </w:rPr>
        <w:t>The cost objects and the costs were modified according to the need of a group practice including 5 FD and FN teams.</w:t>
      </w:r>
      <w:r w:rsidR="00924347">
        <w:rPr>
          <w:rFonts w:eastAsiaTheme="minorEastAsia"/>
          <w:lang w:val="en-GB"/>
        </w:rPr>
        <w:t xml:space="preserve"> The team of 5 was used due to the policy objective in urban setting to merge providers to bigger group practices.</w:t>
      </w:r>
      <w:r w:rsidR="008B4721">
        <w:rPr>
          <w:rFonts w:eastAsiaTheme="minorEastAsia"/>
          <w:lang w:val="en-GB"/>
        </w:rPr>
        <w:t xml:space="preserve"> </w:t>
      </w:r>
    </w:p>
    <w:p w14:paraId="08AC3CC1" w14:textId="77777777" w:rsidR="00E74698" w:rsidRDefault="00E74698" w:rsidP="002E590D">
      <w:pPr>
        <w:spacing w:after="0" w:line="240" w:lineRule="auto"/>
        <w:jc w:val="both"/>
        <w:rPr>
          <w:rFonts w:eastAsiaTheme="minorEastAsia"/>
          <w:lang w:val="en-GB"/>
        </w:rPr>
      </w:pPr>
    </w:p>
    <w:p w14:paraId="6F45606C" w14:textId="4EBA19BA" w:rsidR="00FC00C6" w:rsidRDefault="4A35AB9C" w:rsidP="002E590D">
      <w:pPr>
        <w:spacing w:after="0" w:line="240" w:lineRule="auto"/>
        <w:jc w:val="both"/>
        <w:rPr>
          <w:rFonts w:eastAsiaTheme="minorEastAsia"/>
          <w:lang w:val="en-GB"/>
        </w:rPr>
      </w:pPr>
      <w:r w:rsidRPr="005053C3">
        <w:rPr>
          <w:rFonts w:eastAsiaTheme="minorEastAsia"/>
          <w:lang w:val="en-GB"/>
        </w:rPr>
        <w:t xml:space="preserve">Market prices for laboratory tests were provided by local experts. </w:t>
      </w:r>
      <w:r w:rsidR="05F2032F" w:rsidRPr="005053C3">
        <w:rPr>
          <w:rFonts w:eastAsiaTheme="minorEastAsia"/>
          <w:lang w:val="en-GB"/>
        </w:rPr>
        <w:t xml:space="preserve">While the timeline did not allow for a detailed bottom-up </w:t>
      </w:r>
      <w:r w:rsidR="5C83F3D3" w:rsidRPr="005053C3">
        <w:rPr>
          <w:rFonts w:eastAsiaTheme="minorEastAsia"/>
          <w:lang w:val="en-GB"/>
        </w:rPr>
        <w:t xml:space="preserve">costing exercise, one should be conducted in the future. </w:t>
      </w:r>
    </w:p>
    <w:p w14:paraId="5479C4E4" w14:textId="77777777" w:rsidR="00A832FC" w:rsidRDefault="00A832FC" w:rsidP="002E590D">
      <w:pPr>
        <w:spacing w:after="0" w:line="240" w:lineRule="auto"/>
        <w:jc w:val="both"/>
        <w:rPr>
          <w:rFonts w:eastAsiaTheme="minorEastAsia"/>
          <w:lang w:val="en-GB"/>
        </w:rPr>
      </w:pPr>
    </w:p>
    <w:p w14:paraId="36509908" w14:textId="3F1310E3" w:rsidR="00095558" w:rsidRPr="00681EA9" w:rsidRDefault="00730673" w:rsidP="002E590D">
      <w:pPr>
        <w:pStyle w:val="Heading2"/>
        <w:spacing w:before="0" w:line="240" w:lineRule="auto"/>
        <w:ind w:firstLine="708"/>
        <w:rPr>
          <w:rFonts w:eastAsiaTheme="minorEastAsia"/>
          <w:b/>
          <w:bCs/>
          <w:i/>
          <w:iCs/>
          <w:color w:val="auto"/>
          <w:lang w:val="en-GB"/>
        </w:rPr>
      </w:pPr>
      <w:bookmarkStart w:id="10" w:name="_Toc62149250"/>
      <w:r w:rsidRPr="00681EA9">
        <w:rPr>
          <w:rFonts w:eastAsiaTheme="minorEastAsia"/>
          <w:b/>
          <w:bCs/>
          <w:i/>
          <w:iCs/>
          <w:color w:val="auto"/>
          <w:lang w:val="en-GB"/>
        </w:rPr>
        <w:t xml:space="preserve">4.3 </w:t>
      </w:r>
      <w:r w:rsidR="00095558" w:rsidRPr="00681EA9">
        <w:rPr>
          <w:rFonts w:eastAsiaTheme="minorEastAsia"/>
          <w:b/>
          <w:bCs/>
          <w:i/>
          <w:iCs/>
          <w:color w:val="auto"/>
          <w:lang w:val="en-GB"/>
        </w:rPr>
        <w:t>Costing model</w:t>
      </w:r>
      <w:bookmarkEnd w:id="10"/>
      <w:r w:rsidR="00095558" w:rsidRPr="00681EA9">
        <w:rPr>
          <w:rFonts w:eastAsiaTheme="minorEastAsia"/>
          <w:b/>
          <w:bCs/>
          <w:i/>
          <w:iCs/>
          <w:color w:val="auto"/>
          <w:lang w:val="en-GB"/>
        </w:rPr>
        <w:t xml:space="preserve"> </w:t>
      </w:r>
    </w:p>
    <w:p w14:paraId="6B68D1FE" w14:textId="25035E87" w:rsidR="00087C90" w:rsidRDefault="5728E392" w:rsidP="002E590D">
      <w:pPr>
        <w:spacing w:after="0" w:line="240" w:lineRule="auto"/>
        <w:jc w:val="both"/>
        <w:rPr>
          <w:lang w:val="en-GB"/>
        </w:rPr>
      </w:pPr>
      <w:r w:rsidRPr="00681EA9">
        <w:rPr>
          <w:rFonts w:eastAsiaTheme="minorEastAsia"/>
          <w:lang w:val="en-GB"/>
        </w:rPr>
        <w:t>An Excel-based costing model was developed to simplify the modelling target population and unit cost scenarios for each</w:t>
      </w:r>
      <w:r w:rsidR="00AF41F6" w:rsidRPr="00681EA9">
        <w:rPr>
          <w:rFonts w:eastAsiaTheme="minorEastAsia"/>
          <w:lang w:val="en-GB"/>
        </w:rPr>
        <w:t xml:space="preserve"> cost component</w:t>
      </w:r>
      <w:r w:rsidRPr="00681EA9">
        <w:rPr>
          <w:rFonts w:eastAsiaTheme="minorEastAsia"/>
          <w:lang w:val="en-GB"/>
        </w:rPr>
        <w:t xml:space="preserve"> (</w:t>
      </w:r>
      <w:r w:rsidR="5CB57761" w:rsidRPr="00681EA9">
        <w:rPr>
          <w:rFonts w:eastAsiaTheme="minorEastAsia"/>
          <w:lang w:val="en-GB"/>
        </w:rPr>
        <w:t xml:space="preserve">see </w:t>
      </w:r>
      <w:r w:rsidR="2FBA8B44" w:rsidRPr="00681EA9">
        <w:rPr>
          <w:rFonts w:eastAsiaTheme="minorEastAsia"/>
          <w:lang w:val="en-GB"/>
        </w:rPr>
        <w:t xml:space="preserve">Appendix </w:t>
      </w:r>
      <w:r w:rsidR="1FB04CDF" w:rsidRPr="00681EA9">
        <w:rPr>
          <w:rFonts w:eastAsiaTheme="minorEastAsia"/>
          <w:lang w:val="en-GB"/>
        </w:rPr>
        <w:t>2)</w:t>
      </w:r>
      <w:r w:rsidR="0543CEFE" w:rsidRPr="00681EA9">
        <w:rPr>
          <w:rFonts w:eastAsiaTheme="minorEastAsia"/>
          <w:lang w:val="en-GB"/>
        </w:rPr>
        <w:t>.</w:t>
      </w:r>
      <w:r w:rsidR="00AF41F6" w:rsidRPr="00681EA9">
        <w:rPr>
          <w:rFonts w:eastAsiaTheme="minorEastAsia"/>
          <w:lang w:val="en-GB"/>
        </w:rPr>
        <w:t xml:space="preserve"> </w:t>
      </w:r>
      <w:r w:rsidR="00AF41F6" w:rsidRPr="00681EA9">
        <w:rPr>
          <w:lang w:val="en-GB"/>
        </w:rPr>
        <w:t>The model</w:t>
      </w:r>
      <w:r w:rsidR="00087C90" w:rsidRPr="00681EA9">
        <w:rPr>
          <w:lang w:val="en-GB"/>
        </w:rPr>
        <w:t xml:space="preserve"> list</w:t>
      </w:r>
      <w:r w:rsidR="00AF41F6" w:rsidRPr="00681EA9">
        <w:rPr>
          <w:lang w:val="en-GB"/>
        </w:rPr>
        <w:t>s</w:t>
      </w:r>
      <w:r w:rsidR="00087C90" w:rsidRPr="00681EA9">
        <w:rPr>
          <w:lang w:val="en-GB"/>
        </w:rPr>
        <w:t xml:space="preserve"> all cost components</w:t>
      </w:r>
      <w:r w:rsidR="0006223B" w:rsidRPr="00681EA9">
        <w:rPr>
          <w:lang w:val="en-GB"/>
        </w:rPr>
        <w:t xml:space="preserve"> and</w:t>
      </w:r>
      <w:r w:rsidR="00087C90" w:rsidRPr="00681EA9">
        <w:rPr>
          <w:lang w:val="en-GB"/>
        </w:rPr>
        <w:t xml:space="preserve"> assumptions which </w:t>
      </w:r>
      <w:r w:rsidR="00087C90">
        <w:rPr>
          <w:lang w:val="en-GB"/>
        </w:rPr>
        <w:t xml:space="preserve">are the basis of payment calculations. </w:t>
      </w:r>
      <w:r w:rsidR="00610BC2">
        <w:rPr>
          <w:lang w:val="en-GB"/>
        </w:rPr>
        <w:t>It</w:t>
      </w:r>
      <w:r w:rsidR="00087C90">
        <w:rPr>
          <w:lang w:val="en-GB"/>
        </w:rPr>
        <w:t xml:space="preserve"> gives a possibility to easily assess impact if any of the cost components or assumptions are changed.</w:t>
      </w:r>
      <w:r w:rsidR="00BB4F31">
        <w:rPr>
          <w:lang w:val="en-GB"/>
        </w:rPr>
        <w:t xml:space="preserve"> The following table</w:t>
      </w:r>
      <w:r w:rsidR="00610BC2">
        <w:rPr>
          <w:lang w:val="en-GB"/>
        </w:rPr>
        <w:t xml:space="preserve"> 5</w:t>
      </w:r>
      <w:r w:rsidR="00BB4F31">
        <w:rPr>
          <w:lang w:val="en-GB"/>
        </w:rPr>
        <w:t xml:space="preserve"> summarizes the cost components of each payment</w:t>
      </w:r>
      <w:r w:rsidR="00576C42">
        <w:rPr>
          <w:lang w:val="en-GB"/>
        </w:rPr>
        <w:t xml:space="preserve"> and indicates the spreadsheet in Excel model for each</w:t>
      </w:r>
      <w:r w:rsidR="00C67BAC">
        <w:rPr>
          <w:lang w:val="en-GB"/>
        </w:rPr>
        <w:t xml:space="preserve"> cost component data.</w:t>
      </w:r>
    </w:p>
    <w:p w14:paraId="0D4E241B" w14:textId="09CBE918" w:rsidR="00A378E1" w:rsidRDefault="00A378E1" w:rsidP="002E590D">
      <w:pPr>
        <w:spacing w:after="0" w:line="240" w:lineRule="auto"/>
        <w:jc w:val="both"/>
        <w:rPr>
          <w:lang w:val="en-GB"/>
        </w:rPr>
      </w:pPr>
    </w:p>
    <w:p w14:paraId="6EB9E38E" w14:textId="3B9315A1" w:rsidR="00A378E1" w:rsidRDefault="00A378E1" w:rsidP="002E590D">
      <w:pPr>
        <w:spacing w:after="0" w:line="240" w:lineRule="auto"/>
        <w:jc w:val="both"/>
        <w:rPr>
          <w:lang w:val="en-GB"/>
        </w:rPr>
      </w:pPr>
      <w:r w:rsidRPr="00A378E1">
        <w:rPr>
          <w:b/>
          <w:bCs/>
          <w:lang w:val="en-GB"/>
        </w:rPr>
        <w:t>Table 5</w:t>
      </w:r>
      <w:r>
        <w:rPr>
          <w:lang w:val="en-GB"/>
        </w:rPr>
        <w:t>. C</w:t>
      </w:r>
      <w:r w:rsidRPr="00A378E1">
        <w:rPr>
          <w:lang w:val="en-GB"/>
        </w:rPr>
        <w:t xml:space="preserve">ost components </w:t>
      </w:r>
      <w:r>
        <w:rPr>
          <w:lang w:val="en-GB"/>
        </w:rPr>
        <w:t>included in</w:t>
      </w:r>
      <w:r w:rsidRPr="00A378E1">
        <w:rPr>
          <w:lang w:val="en-GB"/>
        </w:rPr>
        <w:t xml:space="preserve"> each payment</w:t>
      </w:r>
    </w:p>
    <w:tbl>
      <w:tblPr>
        <w:tblStyle w:val="GridTable5Dark-Accent5"/>
        <w:tblW w:w="9490" w:type="dxa"/>
        <w:tblLook w:val="04A0" w:firstRow="1" w:lastRow="0" w:firstColumn="1" w:lastColumn="0" w:noHBand="0" w:noVBand="1"/>
      </w:tblPr>
      <w:tblGrid>
        <w:gridCol w:w="2345"/>
        <w:gridCol w:w="4189"/>
        <w:gridCol w:w="2956"/>
      </w:tblGrid>
      <w:tr w:rsidR="00F17734" w:rsidRPr="0006223B" w14:paraId="36C0309A" w14:textId="77777777" w:rsidTr="00610BC2">
        <w:trPr>
          <w:cnfStyle w:val="100000000000" w:firstRow="1" w:lastRow="0" w:firstColumn="0" w:lastColumn="0" w:oddVBand="0" w:evenVBand="0" w:oddHBand="0" w:evenHBand="0" w:firstRowFirstColumn="0" w:firstRowLastColumn="0" w:lastRowFirstColumn="0" w:lastRowLastColumn="0"/>
          <w:trHeight w:val="142"/>
          <w:tblHeader/>
        </w:trPr>
        <w:tc>
          <w:tcPr>
            <w:cnfStyle w:val="001000000000" w:firstRow="0" w:lastRow="0" w:firstColumn="1" w:lastColumn="0" w:oddVBand="0" w:evenVBand="0" w:oddHBand="0" w:evenHBand="0" w:firstRowFirstColumn="0" w:firstRowLastColumn="0" w:lastRowFirstColumn="0" w:lastRowLastColumn="0"/>
            <w:tcW w:w="2345" w:type="dxa"/>
            <w:noWrap/>
            <w:hideMark/>
          </w:tcPr>
          <w:p w14:paraId="01688F49" w14:textId="77777777" w:rsidR="00534F67" w:rsidRPr="003D1533" w:rsidRDefault="00534F67" w:rsidP="002E590D">
            <w:pPr>
              <w:rPr>
                <w:rFonts w:ascii="Calibri" w:eastAsia="Times New Roman" w:hAnsi="Calibri" w:cs="Calibri"/>
                <w:color w:val="auto"/>
                <w:sz w:val="20"/>
                <w:szCs w:val="20"/>
                <w:lang w:val="en-US" w:eastAsia="et-EE"/>
              </w:rPr>
            </w:pPr>
            <w:r w:rsidRPr="003D1533">
              <w:rPr>
                <w:rFonts w:ascii="Calibri" w:eastAsia="Times New Roman" w:hAnsi="Calibri" w:cs="Calibri"/>
                <w:color w:val="auto"/>
                <w:sz w:val="20"/>
                <w:szCs w:val="20"/>
                <w:lang w:val="en-US" w:eastAsia="et-EE"/>
              </w:rPr>
              <w:t> </w:t>
            </w:r>
          </w:p>
        </w:tc>
        <w:tc>
          <w:tcPr>
            <w:tcW w:w="4189" w:type="dxa"/>
            <w:noWrap/>
            <w:hideMark/>
          </w:tcPr>
          <w:p w14:paraId="234D8E15" w14:textId="77777777" w:rsidR="00534F67" w:rsidRPr="003D1533" w:rsidRDefault="00534F67" w:rsidP="002E590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0"/>
                <w:szCs w:val="20"/>
                <w:lang w:val="en-US" w:eastAsia="et-EE"/>
              </w:rPr>
            </w:pPr>
            <w:r w:rsidRPr="003D1533">
              <w:rPr>
                <w:rFonts w:ascii="Calibri" w:eastAsia="Times New Roman" w:hAnsi="Calibri" w:cs="Calibri"/>
                <w:color w:val="auto"/>
                <w:sz w:val="20"/>
                <w:szCs w:val="20"/>
                <w:lang w:val="en-US" w:eastAsia="et-EE"/>
              </w:rPr>
              <w:t>Cost components</w:t>
            </w:r>
          </w:p>
        </w:tc>
        <w:tc>
          <w:tcPr>
            <w:tcW w:w="2956" w:type="dxa"/>
            <w:hideMark/>
          </w:tcPr>
          <w:p w14:paraId="715075B2" w14:textId="4BF83C42" w:rsidR="00534F67" w:rsidRPr="003D1533" w:rsidRDefault="00534F67" w:rsidP="002E590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0"/>
                <w:szCs w:val="20"/>
                <w:lang w:val="en-US" w:eastAsia="et-EE"/>
              </w:rPr>
            </w:pPr>
            <w:r w:rsidRPr="003D1533">
              <w:rPr>
                <w:rFonts w:ascii="Calibri" w:eastAsia="Times New Roman" w:hAnsi="Calibri" w:cs="Calibri"/>
                <w:color w:val="auto"/>
                <w:sz w:val="20"/>
                <w:szCs w:val="20"/>
                <w:lang w:val="en-US" w:eastAsia="et-EE"/>
              </w:rPr>
              <w:t>Excel spreadsheet</w:t>
            </w:r>
          </w:p>
        </w:tc>
      </w:tr>
      <w:tr w:rsidR="00F17734" w:rsidRPr="0006223B" w14:paraId="5402F015" w14:textId="77777777" w:rsidTr="00610BC2">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2345" w:type="dxa"/>
            <w:noWrap/>
            <w:hideMark/>
          </w:tcPr>
          <w:p w14:paraId="06155AA4" w14:textId="77777777" w:rsidR="00534F67" w:rsidRPr="003D1533" w:rsidRDefault="00534F67" w:rsidP="002E590D">
            <w:pPr>
              <w:rPr>
                <w:rFonts w:ascii="Calibri" w:eastAsia="Times New Roman" w:hAnsi="Calibri" w:cs="Calibri"/>
                <w:color w:val="auto"/>
                <w:sz w:val="20"/>
                <w:szCs w:val="20"/>
                <w:lang w:val="en-US" w:eastAsia="et-EE"/>
              </w:rPr>
            </w:pPr>
            <w:r w:rsidRPr="003D1533">
              <w:rPr>
                <w:rFonts w:ascii="Calibri" w:eastAsia="Times New Roman" w:hAnsi="Calibri" w:cs="Calibri"/>
                <w:color w:val="auto"/>
                <w:sz w:val="20"/>
                <w:szCs w:val="20"/>
                <w:lang w:val="en-US" w:eastAsia="et-EE"/>
              </w:rPr>
              <w:t>Basic capitation</w:t>
            </w:r>
          </w:p>
        </w:tc>
        <w:tc>
          <w:tcPr>
            <w:tcW w:w="4189" w:type="dxa"/>
            <w:noWrap/>
            <w:hideMark/>
          </w:tcPr>
          <w:p w14:paraId="7C42FF1F" w14:textId="77777777" w:rsidR="00534F67" w:rsidRPr="003D1533" w:rsidRDefault="00534F67" w:rsidP="002E59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et-EE"/>
              </w:rPr>
            </w:pPr>
            <w:r w:rsidRPr="003D1533">
              <w:rPr>
                <w:rFonts w:ascii="Calibri" w:eastAsia="Times New Roman" w:hAnsi="Calibri" w:cs="Calibri"/>
                <w:sz w:val="20"/>
                <w:szCs w:val="20"/>
                <w:lang w:val="en-US" w:eastAsia="et-EE"/>
              </w:rPr>
              <w:t> </w:t>
            </w:r>
          </w:p>
        </w:tc>
        <w:tc>
          <w:tcPr>
            <w:tcW w:w="2956" w:type="dxa"/>
            <w:hideMark/>
          </w:tcPr>
          <w:p w14:paraId="31423549" w14:textId="19CF62DB" w:rsidR="00534F67" w:rsidRPr="003D1533" w:rsidRDefault="00534F67" w:rsidP="002E59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et-EE"/>
              </w:rPr>
            </w:pPr>
            <w:r w:rsidRPr="003D1533">
              <w:rPr>
                <w:rFonts w:ascii="Calibri" w:eastAsia="Times New Roman" w:hAnsi="Calibri" w:cs="Calibri"/>
                <w:sz w:val="20"/>
                <w:szCs w:val="20"/>
                <w:lang w:val="en-US" w:eastAsia="et-EE"/>
              </w:rPr>
              <w:t xml:space="preserve">Minimum </w:t>
            </w:r>
            <w:r w:rsidR="0006223B" w:rsidRPr="0006223B">
              <w:rPr>
                <w:rFonts w:ascii="Calibri" w:eastAsia="Times New Roman" w:hAnsi="Calibri" w:cs="Calibri"/>
                <w:sz w:val="20"/>
                <w:szCs w:val="20"/>
                <w:lang w:val="en-US" w:eastAsia="et-EE"/>
              </w:rPr>
              <w:t>costs</w:t>
            </w:r>
            <w:r w:rsidRPr="003D1533">
              <w:rPr>
                <w:rFonts w:ascii="Calibri" w:eastAsia="Times New Roman" w:hAnsi="Calibri" w:cs="Calibri"/>
                <w:sz w:val="20"/>
                <w:szCs w:val="20"/>
                <w:lang w:val="en-US" w:eastAsia="et-EE"/>
              </w:rPr>
              <w:t>, payment summary</w:t>
            </w:r>
          </w:p>
        </w:tc>
      </w:tr>
      <w:tr w:rsidR="00F17734" w:rsidRPr="0006223B" w14:paraId="3D305E7E" w14:textId="77777777" w:rsidTr="00610BC2">
        <w:trPr>
          <w:trHeight w:val="430"/>
        </w:trPr>
        <w:tc>
          <w:tcPr>
            <w:cnfStyle w:val="001000000000" w:firstRow="0" w:lastRow="0" w:firstColumn="1" w:lastColumn="0" w:oddVBand="0" w:evenVBand="0" w:oddHBand="0" w:evenHBand="0" w:firstRowFirstColumn="0" w:firstRowLastColumn="0" w:lastRowFirstColumn="0" w:lastRowLastColumn="0"/>
            <w:tcW w:w="2345" w:type="dxa"/>
            <w:hideMark/>
          </w:tcPr>
          <w:p w14:paraId="0FC1492C" w14:textId="77777777" w:rsidR="00534F67" w:rsidRPr="003D1533" w:rsidRDefault="00534F67" w:rsidP="002E590D">
            <w:pPr>
              <w:jc w:val="right"/>
              <w:rPr>
                <w:rFonts w:ascii="Calibri" w:eastAsia="Times New Roman" w:hAnsi="Calibri" w:cs="Calibri"/>
                <w:color w:val="auto"/>
                <w:sz w:val="20"/>
                <w:szCs w:val="20"/>
                <w:lang w:val="en-US" w:eastAsia="et-EE"/>
              </w:rPr>
            </w:pPr>
            <w:r w:rsidRPr="003D1533">
              <w:rPr>
                <w:rFonts w:ascii="Calibri" w:eastAsia="Times New Roman" w:hAnsi="Calibri" w:cs="Calibri"/>
                <w:color w:val="auto"/>
                <w:sz w:val="20"/>
                <w:szCs w:val="20"/>
                <w:lang w:val="en-US" w:eastAsia="et-EE"/>
              </w:rPr>
              <w:t>Minimum costs for single practitioner</w:t>
            </w:r>
          </w:p>
        </w:tc>
        <w:tc>
          <w:tcPr>
            <w:tcW w:w="4189" w:type="dxa"/>
            <w:hideMark/>
          </w:tcPr>
          <w:p w14:paraId="0520D3E9" w14:textId="77777777" w:rsidR="00534F67" w:rsidRPr="003D1533" w:rsidRDefault="00534F67" w:rsidP="002E5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US" w:eastAsia="et-EE"/>
              </w:rPr>
            </w:pPr>
            <w:r w:rsidRPr="003D1533">
              <w:rPr>
                <w:rFonts w:ascii="Calibri" w:eastAsia="Times New Roman" w:hAnsi="Calibri" w:cs="Calibri"/>
                <w:sz w:val="20"/>
                <w:szCs w:val="20"/>
                <w:lang w:val="en-US" w:eastAsia="et-EE"/>
              </w:rPr>
              <w:t>Salary (one FD and FN), facility-associated costs, medical equipment and medicines for single practitioner</w:t>
            </w:r>
          </w:p>
        </w:tc>
        <w:tc>
          <w:tcPr>
            <w:tcW w:w="2956" w:type="dxa"/>
            <w:hideMark/>
          </w:tcPr>
          <w:p w14:paraId="576E4A97" w14:textId="77777777" w:rsidR="00534F67" w:rsidRPr="003D1533" w:rsidRDefault="00534F67" w:rsidP="002E5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US" w:eastAsia="et-EE"/>
              </w:rPr>
            </w:pPr>
            <w:r w:rsidRPr="003D1533">
              <w:rPr>
                <w:rFonts w:ascii="Calibri" w:eastAsia="Times New Roman" w:hAnsi="Calibri" w:cs="Calibri"/>
                <w:sz w:val="20"/>
                <w:szCs w:val="20"/>
                <w:lang w:val="en-US" w:eastAsia="et-EE"/>
              </w:rPr>
              <w:t>Minimum costs, premises, medical equipment and medicines</w:t>
            </w:r>
          </w:p>
        </w:tc>
      </w:tr>
      <w:tr w:rsidR="00F17734" w:rsidRPr="0006223B" w14:paraId="486FCAE0" w14:textId="77777777" w:rsidTr="00610BC2">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345" w:type="dxa"/>
            <w:hideMark/>
          </w:tcPr>
          <w:p w14:paraId="03A5E73C" w14:textId="77777777" w:rsidR="00534F67" w:rsidRPr="005C23E4" w:rsidRDefault="00534F67" w:rsidP="002E590D">
            <w:pPr>
              <w:jc w:val="right"/>
              <w:rPr>
                <w:rFonts w:ascii="Calibri" w:eastAsia="Times New Roman" w:hAnsi="Calibri" w:cs="Calibri"/>
                <w:color w:val="auto"/>
                <w:sz w:val="20"/>
                <w:szCs w:val="20"/>
                <w:lang w:val="en-US" w:eastAsia="et-EE"/>
              </w:rPr>
            </w:pPr>
            <w:r w:rsidRPr="005C23E4">
              <w:rPr>
                <w:rFonts w:ascii="Calibri" w:eastAsia="Times New Roman" w:hAnsi="Calibri" w:cs="Calibri"/>
                <w:color w:val="auto"/>
                <w:sz w:val="20"/>
                <w:szCs w:val="20"/>
                <w:lang w:val="en-US" w:eastAsia="et-EE"/>
              </w:rPr>
              <w:t>Minimum costs for group practice of 5 providers</w:t>
            </w:r>
          </w:p>
        </w:tc>
        <w:tc>
          <w:tcPr>
            <w:tcW w:w="4189" w:type="dxa"/>
            <w:hideMark/>
          </w:tcPr>
          <w:p w14:paraId="0EA4AC03" w14:textId="77777777" w:rsidR="00534F67" w:rsidRPr="003D1533" w:rsidRDefault="00534F67" w:rsidP="002E59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et-EE"/>
              </w:rPr>
            </w:pPr>
            <w:r w:rsidRPr="003D1533">
              <w:rPr>
                <w:rFonts w:ascii="Calibri" w:eastAsia="Times New Roman" w:hAnsi="Calibri" w:cs="Calibri"/>
                <w:sz w:val="20"/>
                <w:szCs w:val="20"/>
                <w:lang w:val="en-US" w:eastAsia="et-EE"/>
              </w:rPr>
              <w:t>Salary (five teams of a FD and FN, 1.5 salary for a manager and other specialist), facility-associated costs, medical equipment and medicines for a group practice with at least 5 FD and FN teams</w:t>
            </w:r>
          </w:p>
        </w:tc>
        <w:tc>
          <w:tcPr>
            <w:tcW w:w="2956" w:type="dxa"/>
            <w:hideMark/>
          </w:tcPr>
          <w:p w14:paraId="5E679FF1" w14:textId="77777777" w:rsidR="00534F67" w:rsidRPr="003D1533" w:rsidRDefault="00534F67" w:rsidP="002E59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et-EE"/>
              </w:rPr>
            </w:pPr>
            <w:r w:rsidRPr="003D1533">
              <w:rPr>
                <w:rFonts w:ascii="Calibri" w:eastAsia="Times New Roman" w:hAnsi="Calibri" w:cs="Calibri"/>
                <w:sz w:val="20"/>
                <w:szCs w:val="20"/>
                <w:lang w:val="en-US" w:eastAsia="et-EE"/>
              </w:rPr>
              <w:t>Minimum costs, premises, Medical equipment and medicines</w:t>
            </w:r>
          </w:p>
        </w:tc>
      </w:tr>
      <w:tr w:rsidR="00F17734" w:rsidRPr="0006223B" w14:paraId="4842CB84" w14:textId="77777777" w:rsidTr="00610BC2">
        <w:trPr>
          <w:trHeight w:val="142"/>
        </w:trPr>
        <w:tc>
          <w:tcPr>
            <w:cnfStyle w:val="001000000000" w:firstRow="0" w:lastRow="0" w:firstColumn="1" w:lastColumn="0" w:oddVBand="0" w:evenVBand="0" w:oddHBand="0" w:evenHBand="0" w:firstRowFirstColumn="0" w:firstRowLastColumn="0" w:lastRowFirstColumn="0" w:lastRowLastColumn="0"/>
            <w:tcW w:w="2345" w:type="dxa"/>
            <w:hideMark/>
          </w:tcPr>
          <w:p w14:paraId="03C6C38D" w14:textId="77777777" w:rsidR="00534F67" w:rsidRPr="005C23E4" w:rsidRDefault="00534F67" w:rsidP="002E590D">
            <w:pPr>
              <w:jc w:val="right"/>
              <w:rPr>
                <w:rFonts w:ascii="Calibri" w:eastAsia="Times New Roman" w:hAnsi="Calibri" w:cs="Calibri"/>
                <w:color w:val="auto"/>
                <w:sz w:val="20"/>
                <w:szCs w:val="20"/>
                <w:lang w:val="en-US" w:eastAsia="et-EE"/>
              </w:rPr>
            </w:pPr>
            <w:r w:rsidRPr="005C23E4">
              <w:rPr>
                <w:rFonts w:ascii="Calibri" w:eastAsia="Times New Roman" w:hAnsi="Calibri" w:cs="Calibri"/>
                <w:color w:val="auto"/>
                <w:sz w:val="20"/>
                <w:szCs w:val="20"/>
                <w:lang w:val="en-US" w:eastAsia="et-EE"/>
              </w:rPr>
              <w:t>Laboratory tests</w:t>
            </w:r>
          </w:p>
        </w:tc>
        <w:tc>
          <w:tcPr>
            <w:tcW w:w="4189" w:type="dxa"/>
            <w:hideMark/>
          </w:tcPr>
          <w:p w14:paraId="7B48B955" w14:textId="77777777" w:rsidR="00534F67" w:rsidRPr="003D1533" w:rsidRDefault="00534F67" w:rsidP="002E5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US" w:eastAsia="et-EE"/>
              </w:rPr>
            </w:pPr>
            <w:r w:rsidRPr="003D1533">
              <w:rPr>
                <w:rFonts w:ascii="Calibri" w:eastAsia="Times New Roman" w:hAnsi="Calibri" w:cs="Calibri"/>
                <w:sz w:val="20"/>
                <w:szCs w:val="20"/>
                <w:lang w:val="en-US" w:eastAsia="et-EE"/>
              </w:rPr>
              <w:t>Costs of essential PHC-level laboratory tests </w:t>
            </w:r>
          </w:p>
        </w:tc>
        <w:tc>
          <w:tcPr>
            <w:tcW w:w="2956" w:type="dxa"/>
            <w:hideMark/>
          </w:tcPr>
          <w:p w14:paraId="2FFAEC2A" w14:textId="77777777" w:rsidR="00534F67" w:rsidRPr="003D1533" w:rsidRDefault="00534F67" w:rsidP="002E5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US" w:eastAsia="et-EE"/>
              </w:rPr>
            </w:pPr>
            <w:r w:rsidRPr="003D1533">
              <w:rPr>
                <w:rFonts w:ascii="Calibri" w:eastAsia="Times New Roman" w:hAnsi="Calibri" w:cs="Calibri"/>
                <w:sz w:val="20"/>
                <w:szCs w:val="20"/>
                <w:lang w:val="en-US" w:eastAsia="et-EE"/>
              </w:rPr>
              <w:t>Tests</w:t>
            </w:r>
          </w:p>
        </w:tc>
      </w:tr>
      <w:tr w:rsidR="00F17734" w:rsidRPr="0006223B" w14:paraId="1A2CD8D7" w14:textId="77777777" w:rsidTr="00610BC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345" w:type="dxa"/>
            <w:hideMark/>
          </w:tcPr>
          <w:p w14:paraId="45867300" w14:textId="77777777" w:rsidR="00534F67" w:rsidRPr="005C23E4" w:rsidRDefault="00534F67" w:rsidP="002E590D">
            <w:pPr>
              <w:rPr>
                <w:rFonts w:ascii="Calibri" w:eastAsia="Times New Roman" w:hAnsi="Calibri" w:cs="Calibri"/>
                <w:color w:val="auto"/>
                <w:sz w:val="20"/>
                <w:szCs w:val="20"/>
                <w:lang w:val="en-US" w:eastAsia="et-EE"/>
              </w:rPr>
            </w:pPr>
            <w:r w:rsidRPr="005C23E4">
              <w:rPr>
                <w:rFonts w:ascii="Calibri" w:eastAsia="Times New Roman" w:hAnsi="Calibri" w:cs="Calibri"/>
                <w:color w:val="auto"/>
                <w:sz w:val="20"/>
                <w:szCs w:val="20"/>
                <w:lang w:val="en-US" w:eastAsia="et-EE"/>
              </w:rPr>
              <w:t>Rent or capitalization costs for group practices</w:t>
            </w:r>
          </w:p>
        </w:tc>
        <w:tc>
          <w:tcPr>
            <w:tcW w:w="4189" w:type="dxa"/>
            <w:hideMark/>
          </w:tcPr>
          <w:p w14:paraId="51F69DFE" w14:textId="77777777" w:rsidR="00534F67" w:rsidRPr="003D1533" w:rsidRDefault="00534F67" w:rsidP="002E59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et-EE"/>
              </w:rPr>
            </w:pPr>
            <w:r w:rsidRPr="003D1533">
              <w:rPr>
                <w:rFonts w:ascii="Calibri" w:eastAsia="Times New Roman" w:hAnsi="Calibri" w:cs="Calibri"/>
                <w:sz w:val="20"/>
                <w:szCs w:val="20"/>
                <w:lang w:val="en-US" w:eastAsia="et-EE"/>
              </w:rPr>
              <w:t>Rent per m2 for rural and urban providers</w:t>
            </w:r>
          </w:p>
        </w:tc>
        <w:tc>
          <w:tcPr>
            <w:tcW w:w="2956" w:type="dxa"/>
            <w:hideMark/>
          </w:tcPr>
          <w:p w14:paraId="7D17EEB0" w14:textId="77777777" w:rsidR="00534F67" w:rsidRPr="003D1533" w:rsidRDefault="00534F67" w:rsidP="002E59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et-EE"/>
              </w:rPr>
            </w:pPr>
            <w:r w:rsidRPr="003D1533">
              <w:rPr>
                <w:rFonts w:ascii="Calibri" w:eastAsia="Times New Roman" w:hAnsi="Calibri" w:cs="Calibri"/>
                <w:sz w:val="20"/>
                <w:szCs w:val="20"/>
                <w:lang w:val="en-US" w:eastAsia="et-EE"/>
              </w:rPr>
              <w:t>Premises</w:t>
            </w:r>
          </w:p>
        </w:tc>
      </w:tr>
      <w:tr w:rsidR="00F17734" w:rsidRPr="0006223B" w14:paraId="318237A7" w14:textId="77777777" w:rsidTr="00610BC2">
        <w:trPr>
          <w:trHeight w:val="286"/>
        </w:trPr>
        <w:tc>
          <w:tcPr>
            <w:cnfStyle w:val="001000000000" w:firstRow="0" w:lastRow="0" w:firstColumn="1" w:lastColumn="0" w:oddVBand="0" w:evenVBand="0" w:oddHBand="0" w:evenHBand="0" w:firstRowFirstColumn="0" w:firstRowLastColumn="0" w:lastRowFirstColumn="0" w:lastRowLastColumn="0"/>
            <w:tcW w:w="2345" w:type="dxa"/>
            <w:hideMark/>
          </w:tcPr>
          <w:p w14:paraId="4587702B" w14:textId="7BC45738" w:rsidR="00534F67" w:rsidRPr="005C23E4" w:rsidRDefault="00F17734" w:rsidP="002E590D">
            <w:pPr>
              <w:rPr>
                <w:rFonts w:ascii="Calibri" w:eastAsia="Times New Roman" w:hAnsi="Calibri" w:cs="Calibri"/>
                <w:color w:val="auto"/>
                <w:sz w:val="20"/>
                <w:szCs w:val="20"/>
                <w:lang w:val="en-US" w:eastAsia="et-EE"/>
              </w:rPr>
            </w:pPr>
            <w:r w:rsidRPr="005C23E4">
              <w:rPr>
                <w:rFonts w:ascii="Calibri" w:eastAsia="Times New Roman" w:hAnsi="Calibri" w:cs="Calibri"/>
                <w:color w:val="auto"/>
                <w:sz w:val="20"/>
                <w:szCs w:val="20"/>
                <w:lang w:val="en-US" w:eastAsia="et-EE"/>
              </w:rPr>
              <w:t>Priority</w:t>
            </w:r>
            <w:r w:rsidR="00534F67" w:rsidRPr="005C23E4">
              <w:rPr>
                <w:rFonts w:ascii="Calibri" w:eastAsia="Times New Roman" w:hAnsi="Calibri" w:cs="Calibri"/>
                <w:color w:val="auto"/>
                <w:sz w:val="20"/>
                <w:szCs w:val="20"/>
                <w:lang w:val="en-US" w:eastAsia="et-EE"/>
              </w:rPr>
              <w:t xml:space="preserve"> services</w:t>
            </w:r>
          </w:p>
        </w:tc>
        <w:tc>
          <w:tcPr>
            <w:tcW w:w="4189" w:type="dxa"/>
            <w:hideMark/>
          </w:tcPr>
          <w:p w14:paraId="77E70712" w14:textId="77777777" w:rsidR="00534F67" w:rsidRPr="003D1533" w:rsidRDefault="00534F67" w:rsidP="002E5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US" w:eastAsia="et-EE"/>
              </w:rPr>
            </w:pPr>
            <w:r w:rsidRPr="003D1533">
              <w:rPr>
                <w:rFonts w:ascii="Calibri" w:eastAsia="Times New Roman" w:hAnsi="Calibri" w:cs="Calibri"/>
                <w:sz w:val="20"/>
                <w:szCs w:val="20"/>
                <w:lang w:val="en-US" w:eastAsia="et-EE"/>
              </w:rPr>
              <w:t> </w:t>
            </w:r>
          </w:p>
        </w:tc>
        <w:tc>
          <w:tcPr>
            <w:tcW w:w="2956" w:type="dxa"/>
            <w:hideMark/>
          </w:tcPr>
          <w:p w14:paraId="75073B7E" w14:textId="77777777" w:rsidR="00534F67" w:rsidRPr="003D1533" w:rsidRDefault="00534F67" w:rsidP="002E5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US" w:eastAsia="et-EE"/>
              </w:rPr>
            </w:pPr>
            <w:r w:rsidRPr="003D1533">
              <w:rPr>
                <w:rFonts w:ascii="Calibri" w:eastAsia="Times New Roman" w:hAnsi="Calibri" w:cs="Calibri"/>
                <w:sz w:val="20"/>
                <w:szCs w:val="20"/>
                <w:lang w:val="en-US" w:eastAsia="et-EE"/>
              </w:rPr>
              <w:t>NCD summary, child health, payment summary</w:t>
            </w:r>
          </w:p>
        </w:tc>
      </w:tr>
      <w:tr w:rsidR="00F17734" w:rsidRPr="0006223B" w14:paraId="497CF648" w14:textId="77777777" w:rsidTr="00610BC2">
        <w:trPr>
          <w:cnfStyle w:val="000000100000" w:firstRow="0" w:lastRow="0" w:firstColumn="0" w:lastColumn="0" w:oddVBand="0" w:evenVBand="0" w:oddHBand="1" w:evenHBand="0" w:firstRowFirstColumn="0" w:firstRowLastColumn="0" w:lastRowFirstColumn="0" w:lastRowLastColumn="0"/>
          <w:trHeight w:val="142"/>
        </w:trPr>
        <w:tc>
          <w:tcPr>
            <w:cnfStyle w:val="001000000000" w:firstRow="0" w:lastRow="0" w:firstColumn="1" w:lastColumn="0" w:oddVBand="0" w:evenVBand="0" w:oddHBand="0" w:evenHBand="0" w:firstRowFirstColumn="0" w:firstRowLastColumn="0" w:lastRowFirstColumn="0" w:lastRowLastColumn="0"/>
            <w:tcW w:w="2345" w:type="dxa"/>
            <w:hideMark/>
          </w:tcPr>
          <w:p w14:paraId="6B9DC447" w14:textId="77777777" w:rsidR="00534F67" w:rsidRPr="003D1533" w:rsidRDefault="00534F67" w:rsidP="002E590D">
            <w:pPr>
              <w:jc w:val="right"/>
              <w:rPr>
                <w:rFonts w:ascii="Calibri" w:eastAsia="Times New Roman" w:hAnsi="Calibri" w:cs="Calibri"/>
                <w:color w:val="auto"/>
                <w:sz w:val="20"/>
                <w:szCs w:val="20"/>
                <w:lang w:val="en-US" w:eastAsia="et-EE"/>
              </w:rPr>
            </w:pPr>
            <w:r w:rsidRPr="003D1533">
              <w:rPr>
                <w:rFonts w:ascii="Calibri" w:eastAsia="Times New Roman" w:hAnsi="Calibri" w:cs="Calibri"/>
                <w:color w:val="auto"/>
                <w:sz w:val="20"/>
                <w:szCs w:val="20"/>
                <w:lang w:val="en-US" w:eastAsia="et-EE"/>
              </w:rPr>
              <w:t>CVD</w:t>
            </w:r>
          </w:p>
        </w:tc>
        <w:tc>
          <w:tcPr>
            <w:tcW w:w="4189" w:type="dxa"/>
            <w:hideMark/>
          </w:tcPr>
          <w:p w14:paraId="1E7FC3FE" w14:textId="77777777" w:rsidR="00534F67" w:rsidRPr="003D1533" w:rsidRDefault="00534F67" w:rsidP="002E59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et-EE"/>
              </w:rPr>
            </w:pPr>
            <w:r w:rsidRPr="003D1533">
              <w:rPr>
                <w:rFonts w:ascii="Calibri" w:eastAsia="Times New Roman" w:hAnsi="Calibri" w:cs="Calibri"/>
                <w:sz w:val="20"/>
                <w:szCs w:val="20"/>
                <w:lang w:val="en-US" w:eastAsia="et-EE"/>
              </w:rPr>
              <w:t>Laboratory tests and nurse counseling</w:t>
            </w:r>
          </w:p>
        </w:tc>
        <w:tc>
          <w:tcPr>
            <w:tcW w:w="2956" w:type="dxa"/>
            <w:hideMark/>
          </w:tcPr>
          <w:p w14:paraId="268EA5D7" w14:textId="77777777" w:rsidR="00534F67" w:rsidRPr="003D1533" w:rsidRDefault="00534F67" w:rsidP="002E59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et-EE"/>
              </w:rPr>
            </w:pPr>
            <w:r w:rsidRPr="003D1533">
              <w:rPr>
                <w:rFonts w:ascii="Calibri" w:eastAsia="Times New Roman" w:hAnsi="Calibri" w:cs="Calibri"/>
                <w:sz w:val="20"/>
                <w:szCs w:val="20"/>
                <w:lang w:val="en-US" w:eastAsia="et-EE"/>
              </w:rPr>
              <w:t>CVD</w:t>
            </w:r>
          </w:p>
        </w:tc>
      </w:tr>
      <w:tr w:rsidR="00F17734" w:rsidRPr="0006223B" w14:paraId="12A4E6FC" w14:textId="77777777" w:rsidTr="00610BC2">
        <w:trPr>
          <w:trHeight w:val="286"/>
        </w:trPr>
        <w:tc>
          <w:tcPr>
            <w:cnfStyle w:val="001000000000" w:firstRow="0" w:lastRow="0" w:firstColumn="1" w:lastColumn="0" w:oddVBand="0" w:evenVBand="0" w:oddHBand="0" w:evenHBand="0" w:firstRowFirstColumn="0" w:firstRowLastColumn="0" w:lastRowFirstColumn="0" w:lastRowLastColumn="0"/>
            <w:tcW w:w="2345" w:type="dxa"/>
            <w:hideMark/>
          </w:tcPr>
          <w:p w14:paraId="5A010571" w14:textId="77777777" w:rsidR="00534F67" w:rsidRPr="003D1533" w:rsidRDefault="00534F67" w:rsidP="002E590D">
            <w:pPr>
              <w:jc w:val="right"/>
              <w:rPr>
                <w:rFonts w:ascii="Calibri" w:eastAsia="Times New Roman" w:hAnsi="Calibri" w:cs="Calibri"/>
                <w:color w:val="auto"/>
                <w:sz w:val="20"/>
                <w:szCs w:val="20"/>
                <w:lang w:val="en-US" w:eastAsia="et-EE"/>
              </w:rPr>
            </w:pPr>
            <w:r w:rsidRPr="003D1533">
              <w:rPr>
                <w:rFonts w:ascii="Calibri" w:eastAsia="Times New Roman" w:hAnsi="Calibri" w:cs="Calibri"/>
                <w:color w:val="auto"/>
                <w:sz w:val="20"/>
                <w:szCs w:val="20"/>
                <w:lang w:val="en-US" w:eastAsia="et-EE"/>
              </w:rPr>
              <w:t>Diabetes</w:t>
            </w:r>
          </w:p>
        </w:tc>
        <w:tc>
          <w:tcPr>
            <w:tcW w:w="4189" w:type="dxa"/>
            <w:hideMark/>
          </w:tcPr>
          <w:p w14:paraId="743A9F5B" w14:textId="77777777" w:rsidR="00534F67" w:rsidRPr="003D1533" w:rsidRDefault="00534F67" w:rsidP="002E5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US" w:eastAsia="et-EE"/>
              </w:rPr>
            </w:pPr>
            <w:r w:rsidRPr="003D1533">
              <w:rPr>
                <w:rFonts w:ascii="Calibri" w:eastAsia="Times New Roman" w:hAnsi="Calibri" w:cs="Calibri"/>
                <w:sz w:val="20"/>
                <w:szCs w:val="20"/>
                <w:lang w:val="en-US" w:eastAsia="et-EE"/>
              </w:rPr>
              <w:t xml:space="preserve">Laboratory tests, nurse counseling and eye examination by a specialist </w:t>
            </w:r>
          </w:p>
        </w:tc>
        <w:tc>
          <w:tcPr>
            <w:tcW w:w="2956" w:type="dxa"/>
            <w:hideMark/>
          </w:tcPr>
          <w:p w14:paraId="08006810" w14:textId="77777777" w:rsidR="00534F67" w:rsidRPr="003D1533" w:rsidRDefault="00534F67" w:rsidP="002E5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US" w:eastAsia="et-EE"/>
              </w:rPr>
            </w:pPr>
            <w:r w:rsidRPr="003D1533">
              <w:rPr>
                <w:rFonts w:ascii="Calibri" w:eastAsia="Times New Roman" w:hAnsi="Calibri" w:cs="Calibri"/>
                <w:sz w:val="20"/>
                <w:szCs w:val="20"/>
                <w:lang w:val="en-US" w:eastAsia="et-EE"/>
              </w:rPr>
              <w:t>Diabetes</w:t>
            </w:r>
          </w:p>
        </w:tc>
      </w:tr>
      <w:tr w:rsidR="00F17734" w:rsidRPr="0006223B" w14:paraId="6594F227" w14:textId="77777777" w:rsidTr="00610BC2">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2345" w:type="dxa"/>
            <w:hideMark/>
          </w:tcPr>
          <w:p w14:paraId="5B3E1BB9" w14:textId="77777777" w:rsidR="00534F67" w:rsidRPr="003D1533" w:rsidRDefault="00534F67" w:rsidP="002E590D">
            <w:pPr>
              <w:jc w:val="right"/>
              <w:rPr>
                <w:rFonts w:ascii="Calibri" w:eastAsia="Times New Roman" w:hAnsi="Calibri" w:cs="Calibri"/>
                <w:color w:val="auto"/>
                <w:sz w:val="20"/>
                <w:szCs w:val="20"/>
                <w:lang w:val="en-US" w:eastAsia="et-EE"/>
              </w:rPr>
            </w:pPr>
            <w:r w:rsidRPr="003D1533">
              <w:rPr>
                <w:rFonts w:ascii="Calibri" w:eastAsia="Times New Roman" w:hAnsi="Calibri" w:cs="Calibri"/>
                <w:color w:val="auto"/>
                <w:sz w:val="20"/>
                <w:szCs w:val="20"/>
                <w:lang w:val="en-US" w:eastAsia="et-EE"/>
              </w:rPr>
              <w:t>Hypertension</w:t>
            </w:r>
          </w:p>
        </w:tc>
        <w:tc>
          <w:tcPr>
            <w:tcW w:w="4189" w:type="dxa"/>
            <w:hideMark/>
          </w:tcPr>
          <w:p w14:paraId="78BA81AA" w14:textId="77777777" w:rsidR="00534F67" w:rsidRPr="003D1533" w:rsidRDefault="00534F67" w:rsidP="002E59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et-EE"/>
              </w:rPr>
            </w:pPr>
            <w:r w:rsidRPr="003D1533">
              <w:rPr>
                <w:rFonts w:ascii="Calibri" w:eastAsia="Times New Roman" w:hAnsi="Calibri" w:cs="Calibri"/>
                <w:sz w:val="20"/>
                <w:szCs w:val="20"/>
                <w:lang w:val="en-US" w:eastAsia="et-EE"/>
              </w:rPr>
              <w:t xml:space="preserve">Laboratory tests, nurse counseling and eye examination by a specialist </w:t>
            </w:r>
          </w:p>
        </w:tc>
        <w:tc>
          <w:tcPr>
            <w:tcW w:w="2956" w:type="dxa"/>
            <w:hideMark/>
          </w:tcPr>
          <w:p w14:paraId="260D4175" w14:textId="77777777" w:rsidR="00534F67" w:rsidRPr="003D1533" w:rsidRDefault="00534F67" w:rsidP="002E59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et-EE"/>
              </w:rPr>
            </w:pPr>
            <w:r w:rsidRPr="003D1533">
              <w:rPr>
                <w:rFonts w:ascii="Calibri" w:eastAsia="Times New Roman" w:hAnsi="Calibri" w:cs="Calibri"/>
                <w:sz w:val="20"/>
                <w:szCs w:val="20"/>
                <w:lang w:val="en-US" w:eastAsia="et-EE"/>
              </w:rPr>
              <w:t>Hypertension</w:t>
            </w:r>
          </w:p>
        </w:tc>
      </w:tr>
      <w:tr w:rsidR="00F17734" w:rsidRPr="0006223B" w14:paraId="4A211C9A" w14:textId="77777777" w:rsidTr="00610BC2">
        <w:trPr>
          <w:trHeight w:val="286"/>
        </w:trPr>
        <w:tc>
          <w:tcPr>
            <w:cnfStyle w:val="001000000000" w:firstRow="0" w:lastRow="0" w:firstColumn="1" w:lastColumn="0" w:oddVBand="0" w:evenVBand="0" w:oddHBand="0" w:evenHBand="0" w:firstRowFirstColumn="0" w:firstRowLastColumn="0" w:lastRowFirstColumn="0" w:lastRowLastColumn="0"/>
            <w:tcW w:w="2345" w:type="dxa"/>
            <w:hideMark/>
          </w:tcPr>
          <w:p w14:paraId="1E1ABB68" w14:textId="77777777" w:rsidR="00534F67" w:rsidRPr="003D1533" w:rsidRDefault="00534F67" w:rsidP="002E590D">
            <w:pPr>
              <w:jc w:val="right"/>
              <w:rPr>
                <w:rFonts w:ascii="Calibri" w:eastAsia="Times New Roman" w:hAnsi="Calibri" w:cs="Calibri"/>
                <w:color w:val="auto"/>
                <w:sz w:val="20"/>
                <w:szCs w:val="20"/>
                <w:lang w:val="en-US" w:eastAsia="et-EE"/>
              </w:rPr>
            </w:pPr>
            <w:r w:rsidRPr="003D1533">
              <w:rPr>
                <w:rFonts w:ascii="Calibri" w:eastAsia="Times New Roman" w:hAnsi="Calibri" w:cs="Calibri"/>
                <w:color w:val="auto"/>
                <w:sz w:val="20"/>
                <w:szCs w:val="20"/>
                <w:lang w:val="en-US" w:eastAsia="et-EE"/>
              </w:rPr>
              <w:lastRenderedPageBreak/>
              <w:t>Child health 0-5</w:t>
            </w:r>
          </w:p>
        </w:tc>
        <w:tc>
          <w:tcPr>
            <w:tcW w:w="4189" w:type="dxa"/>
            <w:hideMark/>
          </w:tcPr>
          <w:p w14:paraId="02943437" w14:textId="3FCC53D6" w:rsidR="00534F67" w:rsidRPr="003D1533" w:rsidRDefault="00534F67" w:rsidP="002E5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US" w:eastAsia="et-EE"/>
              </w:rPr>
            </w:pPr>
            <w:r w:rsidRPr="003D1533">
              <w:rPr>
                <w:rFonts w:ascii="Calibri" w:eastAsia="Times New Roman" w:hAnsi="Calibri" w:cs="Calibri"/>
                <w:sz w:val="20"/>
                <w:szCs w:val="20"/>
                <w:lang w:val="en-US" w:eastAsia="et-EE"/>
              </w:rPr>
              <w:t xml:space="preserve">FD and FN </w:t>
            </w:r>
            <w:r w:rsidR="00681EA9" w:rsidRPr="003D1533">
              <w:rPr>
                <w:rFonts w:ascii="Calibri" w:eastAsia="Times New Roman" w:hAnsi="Calibri" w:cs="Calibri"/>
                <w:sz w:val="20"/>
                <w:szCs w:val="20"/>
                <w:lang w:val="en-US" w:eastAsia="et-EE"/>
              </w:rPr>
              <w:t>preventive</w:t>
            </w:r>
            <w:r w:rsidRPr="003D1533">
              <w:rPr>
                <w:rFonts w:ascii="Calibri" w:eastAsia="Times New Roman" w:hAnsi="Calibri" w:cs="Calibri"/>
                <w:sz w:val="20"/>
                <w:szCs w:val="20"/>
                <w:lang w:val="en-US" w:eastAsia="et-EE"/>
              </w:rPr>
              <w:t xml:space="preserve"> visits (including on site and remote visits)</w:t>
            </w:r>
          </w:p>
        </w:tc>
        <w:tc>
          <w:tcPr>
            <w:tcW w:w="2956" w:type="dxa"/>
            <w:hideMark/>
          </w:tcPr>
          <w:p w14:paraId="0AA3D4A3" w14:textId="77777777" w:rsidR="00534F67" w:rsidRPr="003D1533" w:rsidRDefault="00534F67" w:rsidP="002E5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US" w:eastAsia="et-EE"/>
              </w:rPr>
            </w:pPr>
            <w:r w:rsidRPr="003D1533">
              <w:rPr>
                <w:rFonts w:ascii="Calibri" w:eastAsia="Times New Roman" w:hAnsi="Calibri" w:cs="Calibri"/>
                <w:sz w:val="20"/>
                <w:szCs w:val="20"/>
                <w:lang w:val="en-US" w:eastAsia="et-EE"/>
              </w:rPr>
              <w:t>ECD</w:t>
            </w:r>
          </w:p>
        </w:tc>
      </w:tr>
    </w:tbl>
    <w:p w14:paraId="0E947051" w14:textId="77777777" w:rsidR="00534F67" w:rsidRPr="005053C3" w:rsidRDefault="00534F67" w:rsidP="002E590D">
      <w:pPr>
        <w:spacing w:after="0" w:line="240" w:lineRule="auto"/>
        <w:jc w:val="both"/>
        <w:rPr>
          <w:lang w:val="en-GB"/>
        </w:rPr>
      </w:pPr>
    </w:p>
    <w:p w14:paraId="618F64DA" w14:textId="406BB389" w:rsidR="009F31BE" w:rsidRDefault="0006223B" w:rsidP="002E590D">
      <w:pPr>
        <w:spacing w:after="0" w:line="240" w:lineRule="auto"/>
        <w:jc w:val="both"/>
        <w:rPr>
          <w:lang w:val="en-GB"/>
        </w:rPr>
      </w:pPr>
      <w:r>
        <w:rPr>
          <w:lang w:val="en-GB"/>
        </w:rPr>
        <w:t xml:space="preserve">Basic Capitation </w:t>
      </w:r>
      <w:r w:rsidR="00225ED8">
        <w:rPr>
          <w:lang w:val="en-GB"/>
        </w:rPr>
        <w:t>cost</w:t>
      </w:r>
      <w:r w:rsidR="00087C90" w:rsidRPr="005053C3">
        <w:rPr>
          <w:lang w:val="en-GB"/>
        </w:rPr>
        <w:t xml:space="preserve"> objects are described in detail on the following spreadsheets: Premises, Medical Equipment and Medicines. </w:t>
      </w:r>
    </w:p>
    <w:p w14:paraId="7ED375A4" w14:textId="77777777" w:rsidR="00CB6D59" w:rsidRDefault="00CB6D59" w:rsidP="002E590D">
      <w:pPr>
        <w:spacing w:after="0" w:line="240" w:lineRule="auto"/>
        <w:jc w:val="both"/>
        <w:rPr>
          <w:lang w:val="en-GB"/>
        </w:rPr>
      </w:pPr>
    </w:p>
    <w:p w14:paraId="5F62CC29" w14:textId="79D1DACA" w:rsidR="00394B09" w:rsidRDefault="00CB6D59" w:rsidP="002E590D">
      <w:pPr>
        <w:spacing w:after="0" w:line="240" w:lineRule="auto"/>
        <w:jc w:val="both"/>
        <w:rPr>
          <w:lang w:val="en-GB"/>
        </w:rPr>
      </w:pPr>
      <w:r>
        <w:rPr>
          <w:lang w:val="en-GB"/>
        </w:rPr>
        <w:t>Costs</w:t>
      </w:r>
      <w:r w:rsidR="00087C90" w:rsidRPr="005053C3">
        <w:rPr>
          <w:lang w:val="en-GB"/>
        </w:rPr>
        <w:t xml:space="preserve"> related to workforce are described on the spreadsheet Minimum </w:t>
      </w:r>
      <w:r w:rsidR="00087C90" w:rsidRPr="000F573F">
        <w:rPr>
          <w:lang w:val="en-GB"/>
        </w:rPr>
        <w:t xml:space="preserve">Costs. </w:t>
      </w:r>
      <w:r w:rsidR="009F31BE">
        <w:rPr>
          <w:lang w:val="en-GB"/>
        </w:rPr>
        <w:t xml:space="preserve">This includes costs for training, vacation substitutions etc. </w:t>
      </w:r>
      <w:r w:rsidR="00DB6490">
        <w:rPr>
          <w:lang w:val="en-GB"/>
        </w:rPr>
        <w:t xml:space="preserve">For </w:t>
      </w:r>
      <w:r w:rsidR="00B6285E">
        <w:rPr>
          <w:lang w:val="en-GB"/>
        </w:rPr>
        <w:t>s</w:t>
      </w:r>
      <w:r w:rsidR="00DB6490">
        <w:rPr>
          <w:lang w:val="en-GB"/>
        </w:rPr>
        <w:t xml:space="preserve">ingle practitioners, the salary of one FD, FN and assistant is included in the model. </w:t>
      </w:r>
      <w:r w:rsidR="00B82638">
        <w:rPr>
          <w:lang w:val="en-GB"/>
        </w:rPr>
        <w:t xml:space="preserve">For group practices, there is also a salary included for 1,5 manager that can be clinical </w:t>
      </w:r>
      <w:r w:rsidR="0030274E">
        <w:rPr>
          <w:lang w:val="en-GB"/>
        </w:rPr>
        <w:t>manager or</w:t>
      </w:r>
      <w:r w:rsidR="00B82638">
        <w:rPr>
          <w:lang w:val="en-GB"/>
        </w:rPr>
        <w:t xml:space="preserve"> quality manager</w:t>
      </w:r>
      <w:r w:rsidR="0030274E">
        <w:rPr>
          <w:lang w:val="en-GB"/>
        </w:rPr>
        <w:t xml:space="preserve">. In </w:t>
      </w:r>
      <w:r w:rsidR="00C22478">
        <w:rPr>
          <w:lang w:val="en-GB"/>
        </w:rPr>
        <w:t>addition,</w:t>
      </w:r>
      <w:r w:rsidR="0030274E">
        <w:rPr>
          <w:lang w:val="en-GB"/>
        </w:rPr>
        <w:t xml:space="preserve"> there is 1,5 persons salary included for a supporting specialist like a </w:t>
      </w:r>
      <w:r w:rsidR="00C22478">
        <w:rPr>
          <w:lang w:val="en-GB"/>
        </w:rPr>
        <w:t>dietitian</w:t>
      </w:r>
      <w:r w:rsidR="0030274E">
        <w:rPr>
          <w:lang w:val="en-GB"/>
        </w:rPr>
        <w:t xml:space="preserve">, </w:t>
      </w:r>
      <w:r w:rsidR="00C22478">
        <w:rPr>
          <w:lang w:val="en-GB"/>
        </w:rPr>
        <w:t xml:space="preserve">speech therapist etc. </w:t>
      </w:r>
      <w:r w:rsidR="00B019DE">
        <w:rPr>
          <w:lang w:val="en-GB"/>
        </w:rPr>
        <w:t>The additional salary for manager and supporting specialist are only entitled to group practices that merge at least 5 FD with a catchment area of 10</w:t>
      </w:r>
      <w:r w:rsidR="00B6285E">
        <w:rPr>
          <w:lang w:val="en-GB"/>
        </w:rPr>
        <w:t xml:space="preserve"> </w:t>
      </w:r>
      <w:r w:rsidR="00B019DE">
        <w:rPr>
          <w:lang w:val="en-GB"/>
        </w:rPr>
        <w:t>000 persons.</w:t>
      </w:r>
    </w:p>
    <w:p w14:paraId="0A4CD456" w14:textId="77777777" w:rsidR="00CB6D59" w:rsidRDefault="00CB6D59" w:rsidP="002E590D">
      <w:pPr>
        <w:spacing w:after="0" w:line="240" w:lineRule="auto"/>
        <w:jc w:val="both"/>
        <w:rPr>
          <w:lang w:val="en-GB"/>
        </w:rPr>
      </w:pPr>
    </w:p>
    <w:p w14:paraId="7F7EDFD7" w14:textId="4FC1C790" w:rsidR="00996C88" w:rsidRDefault="00545EA0" w:rsidP="002E590D">
      <w:pPr>
        <w:spacing w:after="0" w:line="240" w:lineRule="auto"/>
        <w:jc w:val="both"/>
        <w:rPr>
          <w:lang w:val="en-GB"/>
        </w:rPr>
      </w:pPr>
      <w:r>
        <w:rPr>
          <w:lang w:val="en-GB"/>
        </w:rPr>
        <w:t>W</w:t>
      </w:r>
      <w:r w:rsidR="00394B09">
        <w:rPr>
          <w:lang w:val="en-GB"/>
        </w:rPr>
        <w:t xml:space="preserve">e </w:t>
      </w:r>
      <w:r w:rsidR="004C0FF3">
        <w:rPr>
          <w:lang w:val="en-GB"/>
        </w:rPr>
        <w:t xml:space="preserve">also </w:t>
      </w:r>
      <w:r w:rsidR="00394B09">
        <w:rPr>
          <w:lang w:val="en-GB"/>
        </w:rPr>
        <w:t xml:space="preserve">defined all necessary </w:t>
      </w:r>
      <w:r w:rsidR="004C0FF3">
        <w:rPr>
          <w:lang w:val="en-GB"/>
        </w:rPr>
        <w:t xml:space="preserve">facility related </w:t>
      </w:r>
      <w:r w:rsidR="00B40A15">
        <w:rPr>
          <w:lang w:val="en-GB"/>
        </w:rPr>
        <w:t>cost objects</w:t>
      </w:r>
      <w:r w:rsidR="00E35671">
        <w:rPr>
          <w:lang w:val="en-GB"/>
        </w:rPr>
        <w:t>. These include f</w:t>
      </w:r>
      <w:r w:rsidR="000B5852">
        <w:rPr>
          <w:lang w:val="en-GB"/>
        </w:rPr>
        <w:t>or example</w:t>
      </w:r>
      <w:r w:rsidR="00E35671">
        <w:rPr>
          <w:lang w:val="en-GB"/>
        </w:rPr>
        <w:t xml:space="preserve"> </w:t>
      </w:r>
      <w:r w:rsidR="001E3D64">
        <w:rPr>
          <w:lang w:val="en-GB"/>
        </w:rPr>
        <w:t xml:space="preserve">office </w:t>
      </w:r>
      <w:r w:rsidR="00E35671">
        <w:rPr>
          <w:lang w:val="en-GB"/>
        </w:rPr>
        <w:t xml:space="preserve">furniture, cleaning, </w:t>
      </w:r>
      <w:r w:rsidR="001E3D64">
        <w:rPr>
          <w:lang w:val="en-GB"/>
        </w:rPr>
        <w:t>papers and pens as costs related to premises.</w:t>
      </w:r>
      <w:r w:rsidR="002F6440">
        <w:rPr>
          <w:lang w:val="en-GB"/>
        </w:rPr>
        <w:t xml:space="preserve"> Medical equipment is divided into disposable and reusable devices (f</w:t>
      </w:r>
      <w:r w:rsidR="000B5852">
        <w:rPr>
          <w:lang w:val="en-GB"/>
        </w:rPr>
        <w:t>or example.</w:t>
      </w:r>
      <w:r w:rsidR="002F6440">
        <w:rPr>
          <w:lang w:val="en-GB"/>
        </w:rPr>
        <w:t xml:space="preserve"> refrigerator, </w:t>
      </w:r>
      <w:r w:rsidR="00C167EC">
        <w:rPr>
          <w:lang w:val="en-GB"/>
        </w:rPr>
        <w:t>otoscope, gloves etc)</w:t>
      </w:r>
      <w:r w:rsidR="00BF6A6C">
        <w:rPr>
          <w:lang w:val="en-GB"/>
        </w:rPr>
        <w:t xml:space="preserve">. Medications include the list of pharmaceuticals that should be available and are currently financed in the </w:t>
      </w:r>
      <w:r>
        <w:rPr>
          <w:lang w:val="en-GB"/>
        </w:rPr>
        <w:t>doctor’s</w:t>
      </w:r>
      <w:r w:rsidR="00BF6A6C">
        <w:rPr>
          <w:lang w:val="en-GB"/>
        </w:rPr>
        <w:t xml:space="preserve"> bag (</w:t>
      </w:r>
      <w:r w:rsidR="0093516B" w:rsidRPr="0093516B">
        <w:rPr>
          <w:lang w:val="en-GB"/>
        </w:rPr>
        <w:t>ACE inhibitors</w:t>
      </w:r>
      <w:r w:rsidR="0093516B">
        <w:rPr>
          <w:lang w:val="en-GB"/>
        </w:rPr>
        <w:t xml:space="preserve">, </w:t>
      </w:r>
      <w:r w:rsidR="000B5852">
        <w:rPr>
          <w:lang w:val="en-GB"/>
        </w:rPr>
        <w:t>metoprolol</w:t>
      </w:r>
      <w:r w:rsidR="0093516B">
        <w:rPr>
          <w:lang w:val="en-GB"/>
        </w:rPr>
        <w:t xml:space="preserve"> etc).</w:t>
      </w:r>
      <w:r w:rsidR="00594FFD">
        <w:rPr>
          <w:lang w:val="en-GB"/>
        </w:rPr>
        <w:t xml:space="preserve"> Firstly</w:t>
      </w:r>
      <w:r w:rsidR="00A33BFC">
        <w:rPr>
          <w:lang w:val="en-GB"/>
        </w:rPr>
        <w:t>,</w:t>
      </w:r>
      <w:r w:rsidR="00594FFD">
        <w:rPr>
          <w:lang w:val="en-GB"/>
        </w:rPr>
        <w:t xml:space="preserve"> we defined the costs for single practitioner and used these as a basis to assess costs for group practices. F</w:t>
      </w:r>
      <w:r w:rsidR="00FD2E0B">
        <w:rPr>
          <w:lang w:val="en-GB"/>
        </w:rPr>
        <w:t>or example</w:t>
      </w:r>
      <w:r w:rsidR="00A33BFC">
        <w:rPr>
          <w:lang w:val="en-GB"/>
        </w:rPr>
        <w:t>,</w:t>
      </w:r>
      <w:r w:rsidR="00FD2E0B">
        <w:rPr>
          <w:lang w:val="en-GB"/>
        </w:rPr>
        <w:t xml:space="preserve"> one vaccine refrigerator is necessary for </w:t>
      </w:r>
      <w:r w:rsidR="009F5ADB">
        <w:rPr>
          <w:lang w:val="en-GB"/>
        </w:rPr>
        <w:t xml:space="preserve">a single practitioner, but for a team of 5 FDs, it is possible to manage with </w:t>
      </w:r>
      <w:r w:rsidR="00A33BFC">
        <w:rPr>
          <w:lang w:val="en-GB"/>
        </w:rPr>
        <w:t xml:space="preserve">2 refrigerators. Regarding some cost components, there is a </w:t>
      </w:r>
      <w:r w:rsidR="00A96291">
        <w:rPr>
          <w:lang w:val="en-GB"/>
        </w:rPr>
        <w:t>cost saving for group practices, but in return, the group practices require additional management costs.</w:t>
      </w:r>
      <w:r w:rsidR="005B68BF">
        <w:rPr>
          <w:lang w:val="en-GB"/>
        </w:rPr>
        <w:t xml:space="preserve"> Since the group practices are mostly also located in urban areas, the costs for different utilities is higher. </w:t>
      </w:r>
      <w:r w:rsidR="00E054C1">
        <w:rPr>
          <w:lang w:val="en-GB"/>
        </w:rPr>
        <w:t xml:space="preserve">We have provided a prognosis of the average costs according to expert opinion, but </w:t>
      </w:r>
      <w:r w:rsidR="00E86798">
        <w:rPr>
          <w:lang w:val="en-GB"/>
        </w:rPr>
        <w:t xml:space="preserve">also </w:t>
      </w:r>
      <w:r w:rsidR="004E72BF">
        <w:rPr>
          <w:lang w:val="en-GB"/>
        </w:rPr>
        <w:t xml:space="preserve">a more detailed costing exercise should be conducted to differentiate the </w:t>
      </w:r>
      <w:r w:rsidR="00E054C1">
        <w:rPr>
          <w:lang w:val="en-GB"/>
        </w:rPr>
        <w:t>cost level for urban and rural providers.</w:t>
      </w:r>
    </w:p>
    <w:p w14:paraId="217BD3E6" w14:textId="77777777" w:rsidR="00B6285E" w:rsidRDefault="00B6285E" w:rsidP="002E590D">
      <w:pPr>
        <w:spacing w:after="0" w:line="240" w:lineRule="auto"/>
        <w:jc w:val="both"/>
        <w:rPr>
          <w:lang w:val="en-GB"/>
        </w:rPr>
      </w:pPr>
    </w:p>
    <w:p w14:paraId="10535BE4" w14:textId="6B26E7E9" w:rsidR="005A20B3" w:rsidRDefault="00E86798" w:rsidP="002E590D">
      <w:pPr>
        <w:spacing w:after="0" w:line="240" w:lineRule="auto"/>
        <w:jc w:val="both"/>
        <w:rPr>
          <w:lang w:val="en-GB"/>
        </w:rPr>
      </w:pPr>
      <w:r>
        <w:rPr>
          <w:lang w:val="en-GB"/>
        </w:rPr>
        <w:t>The described</w:t>
      </w:r>
      <w:r w:rsidR="00087C90" w:rsidRPr="000F573F">
        <w:rPr>
          <w:lang w:val="en-GB"/>
        </w:rPr>
        <w:t xml:space="preserve"> </w:t>
      </w:r>
      <w:r w:rsidR="00E0189A">
        <w:rPr>
          <w:lang w:val="en-GB"/>
        </w:rPr>
        <w:t xml:space="preserve">detailed </w:t>
      </w:r>
      <w:r w:rsidR="00087C90" w:rsidRPr="000F573F">
        <w:rPr>
          <w:lang w:val="en-GB"/>
        </w:rPr>
        <w:t>costs</w:t>
      </w:r>
      <w:r w:rsidR="00996C88">
        <w:rPr>
          <w:lang w:val="en-GB"/>
        </w:rPr>
        <w:t xml:space="preserve"> for single and group providers</w:t>
      </w:r>
      <w:r w:rsidR="00087C90" w:rsidRPr="000F573F">
        <w:rPr>
          <w:lang w:val="en-GB"/>
        </w:rPr>
        <w:t xml:space="preserve"> are summarized into a single annual cost</w:t>
      </w:r>
      <w:r w:rsidR="00EF2B4C">
        <w:rPr>
          <w:lang w:val="en-GB"/>
        </w:rPr>
        <w:t xml:space="preserve"> which is 60</w:t>
      </w:r>
      <w:r>
        <w:rPr>
          <w:lang w:val="en-GB"/>
        </w:rPr>
        <w:t xml:space="preserve"> </w:t>
      </w:r>
      <w:r w:rsidR="00EF2B4C">
        <w:rPr>
          <w:lang w:val="en-GB"/>
        </w:rPr>
        <w:t xml:space="preserve">000 for a single provider in a year and </w:t>
      </w:r>
      <w:r w:rsidR="008806A9">
        <w:rPr>
          <w:lang w:val="en-GB"/>
        </w:rPr>
        <w:t>265</w:t>
      </w:r>
      <w:r>
        <w:rPr>
          <w:lang w:val="en-GB"/>
        </w:rPr>
        <w:t xml:space="preserve"> </w:t>
      </w:r>
      <w:r w:rsidR="008806A9">
        <w:rPr>
          <w:lang w:val="en-GB"/>
        </w:rPr>
        <w:t>000 for a group practice of 5 FDs</w:t>
      </w:r>
      <w:r w:rsidR="00087C90" w:rsidRPr="000F573F">
        <w:rPr>
          <w:lang w:val="en-GB"/>
        </w:rPr>
        <w:t>.</w:t>
      </w:r>
    </w:p>
    <w:p w14:paraId="6EDC8A50" w14:textId="77777777" w:rsidR="00E054C1" w:rsidRPr="000F573F" w:rsidRDefault="00E054C1" w:rsidP="002E590D">
      <w:pPr>
        <w:spacing w:after="0" w:line="240" w:lineRule="auto"/>
        <w:jc w:val="both"/>
        <w:rPr>
          <w:lang w:val="en-GB"/>
        </w:rPr>
      </w:pPr>
    </w:p>
    <w:p w14:paraId="24339F09" w14:textId="50701103" w:rsidR="00087C90" w:rsidRDefault="003414F4" w:rsidP="002E590D">
      <w:pPr>
        <w:spacing w:after="0" w:line="240" w:lineRule="auto"/>
        <w:jc w:val="both"/>
        <w:rPr>
          <w:rFonts w:eastAsiaTheme="minorEastAsia"/>
          <w:lang w:val="en-GB"/>
        </w:rPr>
      </w:pPr>
      <w:r>
        <w:rPr>
          <w:rFonts w:eastAsiaTheme="minorEastAsia"/>
          <w:lang w:val="en-GB"/>
        </w:rPr>
        <w:t>The laboratory tes</w:t>
      </w:r>
      <w:r w:rsidR="008A6798">
        <w:rPr>
          <w:rFonts w:eastAsiaTheme="minorEastAsia"/>
          <w:lang w:val="en-GB"/>
        </w:rPr>
        <w:t>ts cover the costs for basic laboratory tests and procedures that need to be available at PHC setting.</w:t>
      </w:r>
    </w:p>
    <w:p w14:paraId="7649840B" w14:textId="7D5B7FAC" w:rsidR="007B043A" w:rsidRDefault="007B043A" w:rsidP="002E590D">
      <w:pPr>
        <w:spacing w:after="0" w:line="240" w:lineRule="auto"/>
        <w:jc w:val="both"/>
        <w:rPr>
          <w:rFonts w:eastAsiaTheme="minorEastAsia"/>
          <w:lang w:val="en-GB"/>
        </w:rPr>
      </w:pPr>
    </w:p>
    <w:p w14:paraId="47150972" w14:textId="16613F98" w:rsidR="00E86798" w:rsidRDefault="007B043A" w:rsidP="002E590D">
      <w:pPr>
        <w:spacing w:after="0" w:line="240" w:lineRule="auto"/>
        <w:jc w:val="both"/>
        <w:rPr>
          <w:rFonts w:eastAsiaTheme="minorEastAsia"/>
          <w:lang w:val="en-GB"/>
        </w:rPr>
      </w:pPr>
      <w:r>
        <w:rPr>
          <w:rFonts w:eastAsiaTheme="minorEastAsia"/>
          <w:lang w:val="en-GB"/>
        </w:rPr>
        <w:t xml:space="preserve">A </w:t>
      </w:r>
      <w:r w:rsidR="001B7CAA">
        <w:rPr>
          <w:rFonts w:eastAsiaTheme="minorEastAsia"/>
          <w:lang w:val="en-GB"/>
        </w:rPr>
        <w:t>separate</w:t>
      </w:r>
      <w:r>
        <w:rPr>
          <w:rFonts w:eastAsiaTheme="minorEastAsia"/>
          <w:lang w:val="en-GB"/>
        </w:rPr>
        <w:t xml:space="preserve"> payment was calculated to pay for rent or capitalization costs. </w:t>
      </w:r>
      <w:r w:rsidR="00704C46">
        <w:rPr>
          <w:rFonts w:eastAsiaTheme="minorEastAsia"/>
          <w:lang w:val="en-GB"/>
        </w:rPr>
        <w:t>The rent and capitalization costs were not included to the capitation</w:t>
      </w:r>
      <w:r w:rsidR="003E1C86">
        <w:rPr>
          <w:rFonts w:eastAsiaTheme="minorEastAsia"/>
          <w:lang w:val="en-GB"/>
        </w:rPr>
        <w:t>, because some of the providers receive the rooms for rent from the state or municipality.</w:t>
      </w:r>
      <w:r w:rsidR="000B34D3">
        <w:rPr>
          <w:rFonts w:eastAsiaTheme="minorEastAsia"/>
          <w:lang w:val="en-GB"/>
        </w:rPr>
        <w:t xml:space="preserve"> (see also section 4.6)</w:t>
      </w:r>
      <w:r w:rsidR="001E51CE">
        <w:rPr>
          <w:rFonts w:eastAsiaTheme="minorEastAsia"/>
          <w:lang w:val="en-GB"/>
        </w:rPr>
        <w:t xml:space="preserve"> The rent rate was differentiated for urban and rural providers according to expert opinion. We used the room size of 52 m2</w:t>
      </w:r>
      <w:r w:rsidR="00992EFC">
        <w:rPr>
          <w:rFonts w:eastAsiaTheme="minorEastAsia"/>
          <w:lang w:val="en-GB"/>
        </w:rPr>
        <w:t xml:space="preserve"> for a single practitioner and 280 m2 for a group practice with 5 FD team. These room sizes may be subject to further negotiatio</w:t>
      </w:r>
      <w:r w:rsidR="00C236B2">
        <w:rPr>
          <w:rFonts w:eastAsiaTheme="minorEastAsia"/>
          <w:lang w:val="en-GB"/>
        </w:rPr>
        <w:t>ns. Furthermore, a market rent price assessment should be conducted to assess the accurate level of rent per m</w:t>
      </w:r>
      <w:r w:rsidR="00B6531C">
        <w:rPr>
          <w:rFonts w:eastAsiaTheme="minorEastAsia"/>
          <w:lang w:val="en-GB"/>
        </w:rPr>
        <w:t>2</w:t>
      </w:r>
      <w:r w:rsidR="000B34D3">
        <w:rPr>
          <w:rFonts w:eastAsiaTheme="minorEastAsia"/>
          <w:lang w:val="en-GB"/>
        </w:rPr>
        <w:t>.</w:t>
      </w:r>
    </w:p>
    <w:p w14:paraId="33E2EAD3" w14:textId="77777777" w:rsidR="007B043A" w:rsidRPr="005053C3" w:rsidRDefault="007B043A" w:rsidP="002E590D">
      <w:pPr>
        <w:spacing w:after="0" w:line="240" w:lineRule="auto"/>
        <w:jc w:val="both"/>
        <w:rPr>
          <w:rFonts w:eastAsiaTheme="minorEastAsia"/>
          <w:lang w:val="en-GB"/>
        </w:rPr>
      </w:pPr>
    </w:p>
    <w:p w14:paraId="12AAAAEC" w14:textId="32A15AA9" w:rsidR="501BF5B6" w:rsidRDefault="501BF5B6" w:rsidP="002E590D">
      <w:pPr>
        <w:spacing w:after="0" w:line="240" w:lineRule="auto"/>
        <w:jc w:val="both"/>
        <w:rPr>
          <w:rFonts w:eastAsiaTheme="minorEastAsia"/>
          <w:lang w:val="en-GB"/>
        </w:rPr>
      </w:pPr>
      <w:r w:rsidRPr="005053C3">
        <w:rPr>
          <w:rFonts w:eastAsiaTheme="minorEastAsia"/>
          <w:lang w:val="en-GB"/>
        </w:rPr>
        <w:t>The add</w:t>
      </w:r>
      <w:r w:rsidR="7B299184" w:rsidRPr="005053C3">
        <w:rPr>
          <w:rFonts w:eastAsiaTheme="minorEastAsia"/>
          <w:lang w:val="en-GB"/>
        </w:rPr>
        <w:t>-</w:t>
      </w:r>
      <w:r w:rsidRPr="005053C3">
        <w:rPr>
          <w:rFonts w:eastAsiaTheme="minorEastAsia"/>
          <w:lang w:val="en-GB"/>
        </w:rPr>
        <w:t xml:space="preserve">on payments </w:t>
      </w:r>
      <w:r w:rsidR="5CEFE22B" w:rsidRPr="005053C3">
        <w:rPr>
          <w:rFonts w:eastAsiaTheme="minorEastAsia"/>
          <w:lang w:val="en-GB"/>
        </w:rPr>
        <w:t>for</w:t>
      </w:r>
      <w:r w:rsidRPr="005053C3">
        <w:rPr>
          <w:rFonts w:eastAsiaTheme="minorEastAsia"/>
          <w:lang w:val="en-GB"/>
        </w:rPr>
        <w:t xml:space="preserve"> priority services cover all necessary costs for laboratory tests and services/counselling provided by the </w:t>
      </w:r>
      <w:r w:rsidR="00C73F6E">
        <w:rPr>
          <w:rFonts w:eastAsiaTheme="minorEastAsia"/>
          <w:lang w:val="en-GB"/>
        </w:rPr>
        <w:t>PHC</w:t>
      </w:r>
      <w:r w:rsidRPr="005053C3">
        <w:rPr>
          <w:rFonts w:eastAsiaTheme="minorEastAsia"/>
          <w:lang w:val="en-GB"/>
        </w:rPr>
        <w:t xml:space="preserve"> team</w:t>
      </w:r>
      <w:r w:rsidR="005053C3">
        <w:rPr>
          <w:rFonts w:eastAsiaTheme="minorEastAsia"/>
          <w:lang w:val="en-GB"/>
        </w:rPr>
        <w:t xml:space="preserve"> and an eye examination by a specialist for </w:t>
      </w:r>
      <w:r w:rsidR="006E4CA7">
        <w:rPr>
          <w:rFonts w:eastAsiaTheme="minorEastAsia"/>
          <w:lang w:val="en-GB"/>
        </w:rPr>
        <w:t xml:space="preserve">diabetes type II </w:t>
      </w:r>
      <w:r w:rsidR="005053C3">
        <w:rPr>
          <w:rFonts w:eastAsiaTheme="minorEastAsia"/>
          <w:lang w:val="en-GB"/>
        </w:rPr>
        <w:t>and hypertension patients</w:t>
      </w:r>
      <w:r w:rsidRPr="005053C3">
        <w:rPr>
          <w:rFonts w:eastAsiaTheme="minorEastAsia"/>
          <w:lang w:val="en-GB"/>
        </w:rPr>
        <w:t>.</w:t>
      </w:r>
    </w:p>
    <w:p w14:paraId="731FC4C8" w14:textId="77777777" w:rsidR="00E86798" w:rsidRPr="005053C3" w:rsidRDefault="00E86798" w:rsidP="002E590D">
      <w:pPr>
        <w:spacing w:after="0" w:line="240" w:lineRule="auto"/>
        <w:jc w:val="both"/>
        <w:rPr>
          <w:rFonts w:eastAsiaTheme="minorEastAsia"/>
          <w:lang w:val="en-GB"/>
        </w:rPr>
      </w:pPr>
    </w:p>
    <w:p w14:paraId="4FA8EBBF" w14:textId="1FA5C08A" w:rsidR="003C4590" w:rsidRDefault="501BF5B6" w:rsidP="002E590D">
      <w:pPr>
        <w:spacing w:after="0" w:line="240" w:lineRule="auto"/>
        <w:jc w:val="both"/>
        <w:rPr>
          <w:lang w:val="en-GB"/>
        </w:rPr>
      </w:pPr>
      <w:r w:rsidRPr="005053C3">
        <w:rPr>
          <w:rFonts w:eastAsiaTheme="minorEastAsia"/>
          <w:lang w:val="en-GB"/>
        </w:rPr>
        <w:t>The</w:t>
      </w:r>
      <w:r w:rsidR="1F4BCA40" w:rsidRPr="005053C3">
        <w:rPr>
          <w:rFonts w:eastAsiaTheme="minorEastAsia"/>
          <w:lang w:val="en-GB"/>
        </w:rPr>
        <w:t xml:space="preserve"> NCD</w:t>
      </w:r>
      <w:r w:rsidRPr="005053C3">
        <w:rPr>
          <w:rFonts w:eastAsiaTheme="minorEastAsia"/>
          <w:lang w:val="en-GB"/>
        </w:rPr>
        <w:t xml:space="preserve"> guidelines follow Georgian clinical guidelines and have been reviewed during the consultation process to ensure the focus on priority interventions. The </w:t>
      </w:r>
      <w:r w:rsidR="00A64A8F">
        <w:rPr>
          <w:rFonts w:eastAsiaTheme="minorEastAsia"/>
          <w:lang w:val="en-GB"/>
        </w:rPr>
        <w:t>ECD</w:t>
      </w:r>
      <w:r w:rsidRPr="005053C3">
        <w:rPr>
          <w:rFonts w:eastAsiaTheme="minorEastAsia"/>
          <w:lang w:val="en-GB"/>
        </w:rPr>
        <w:t xml:space="preserve"> guideline </w:t>
      </w:r>
      <w:r w:rsidR="00265AAB" w:rsidRPr="005053C3">
        <w:rPr>
          <w:rFonts w:eastAsiaTheme="minorEastAsia"/>
          <w:lang w:val="en-GB"/>
        </w:rPr>
        <w:t>has been revised by</w:t>
      </w:r>
      <w:r w:rsidRPr="005053C3">
        <w:rPr>
          <w:rFonts w:eastAsiaTheme="minorEastAsia"/>
          <w:lang w:val="en-GB"/>
        </w:rPr>
        <w:t xml:space="preserve"> UNICEF </w:t>
      </w:r>
      <w:r w:rsidR="00D54144" w:rsidRPr="005053C3">
        <w:rPr>
          <w:rFonts w:eastAsiaTheme="minorEastAsia"/>
          <w:lang w:val="en-GB"/>
        </w:rPr>
        <w:t xml:space="preserve">to </w:t>
      </w:r>
      <w:r w:rsidR="77018C77" w:rsidRPr="005053C3">
        <w:rPr>
          <w:rFonts w:eastAsiaTheme="minorEastAsia"/>
          <w:lang w:val="en-GB"/>
        </w:rPr>
        <w:t>s</w:t>
      </w:r>
      <w:r w:rsidR="03551B9F" w:rsidRPr="005053C3">
        <w:rPr>
          <w:rFonts w:eastAsiaTheme="minorEastAsia"/>
          <w:lang w:val="en-GB"/>
        </w:rPr>
        <w:t>upport Primary Healthcare Strengthening in Georgia</w:t>
      </w:r>
      <w:r w:rsidR="00D54144" w:rsidRPr="005053C3">
        <w:rPr>
          <w:rFonts w:eastAsiaTheme="minorEastAsia"/>
          <w:lang w:val="en-GB"/>
        </w:rPr>
        <w:t xml:space="preserve">. </w:t>
      </w:r>
      <w:r w:rsidR="5DF1AC3F" w:rsidRPr="005053C3">
        <w:rPr>
          <w:rFonts w:eastAsiaTheme="minorEastAsia"/>
          <w:lang w:val="en-GB"/>
        </w:rPr>
        <w:t xml:space="preserve">The </w:t>
      </w:r>
      <w:r w:rsidR="03551B9F" w:rsidRPr="005053C3">
        <w:rPr>
          <w:rFonts w:eastAsiaTheme="minorEastAsia"/>
          <w:lang w:val="en-GB"/>
        </w:rPr>
        <w:t>Caritas Czech project</w:t>
      </w:r>
      <w:r w:rsidR="03551B9F" w:rsidRPr="005053C3">
        <w:rPr>
          <w:rFonts w:ascii="Tahoma" w:eastAsia="Tahoma" w:hAnsi="Tahoma" w:cs="Tahoma"/>
          <w:lang w:val="en-GB"/>
        </w:rPr>
        <w:t xml:space="preserve"> </w:t>
      </w:r>
      <w:r w:rsidRPr="005053C3">
        <w:rPr>
          <w:rFonts w:eastAsiaTheme="minorEastAsia"/>
          <w:lang w:val="en-GB"/>
        </w:rPr>
        <w:t xml:space="preserve">and </w:t>
      </w:r>
      <w:r w:rsidR="4088A337" w:rsidRPr="005053C3">
        <w:rPr>
          <w:rFonts w:eastAsiaTheme="minorEastAsia"/>
          <w:lang w:val="en-GB"/>
        </w:rPr>
        <w:t xml:space="preserve">clinical </w:t>
      </w:r>
      <w:r w:rsidRPr="005053C3">
        <w:rPr>
          <w:rFonts w:eastAsiaTheme="minorEastAsia"/>
          <w:lang w:val="en-GB"/>
        </w:rPr>
        <w:t xml:space="preserve">expert opinion is used to assess </w:t>
      </w:r>
      <w:r w:rsidR="008E5F5A">
        <w:rPr>
          <w:lang w:val="en-GB"/>
        </w:rPr>
        <w:t>need for consultations</w:t>
      </w:r>
      <w:r w:rsidRPr="005053C3">
        <w:rPr>
          <w:lang w:val="en-GB"/>
        </w:rPr>
        <w:t>.</w:t>
      </w:r>
    </w:p>
    <w:p w14:paraId="62723109" w14:textId="77777777" w:rsidR="00A64A8F" w:rsidRDefault="00A64A8F" w:rsidP="002E590D">
      <w:pPr>
        <w:spacing w:after="0" w:line="240" w:lineRule="auto"/>
        <w:jc w:val="both"/>
        <w:rPr>
          <w:lang w:val="en-GB"/>
        </w:rPr>
      </w:pPr>
    </w:p>
    <w:p w14:paraId="6F25629E" w14:textId="616578EB" w:rsidR="00327A0A" w:rsidRPr="005053C3" w:rsidRDefault="00327A0A" w:rsidP="002E590D">
      <w:pPr>
        <w:spacing w:after="0" w:line="240" w:lineRule="auto"/>
        <w:jc w:val="both"/>
        <w:rPr>
          <w:lang w:val="en-GB"/>
        </w:rPr>
      </w:pPr>
      <w:r>
        <w:rPr>
          <w:lang w:val="en-GB"/>
        </w:rPr>
        <w:t xml:space="preserve">The following chapters </w:t>
      </w:r>
      <w:r w:rsidR="00850C5C">
        <w:rPr>
          <w:lang w:val="en-GB"/>
        </w:rPr>
        <w:t>describe the calculation methodology for all three payments.</w:t>
      </w:r>
    </w:p>
    <w:p w14:paraId="4C2F6FD0" w14:textId="3D8AABDF" w:rsidR="27D2215C" w:rsidRDefault="27D2215C" w:rsidP="002E590D">
      <w:pPr>
        <w:spacing w:after="0" w:line="240" w:lineRule="auto"/>
        <w:jc w:val="both"/>
        <w:rPr>
          <w:lang w:val="en-GB"/>
        </w:rPr>
      </w:pPr>
    </w:p>
    <w:p w14:paraId="0BF0701B" w14:textId="77777777" w:rsidR="001829C7" w:rsidRPr="005053C3" w:rsidRDefault="001829C7" w:rsidP="002E590D">
      <w:pPr>
        <w:spacing w:after="0" w:line="240" w:lineRule="auto"/>
        <w:jc w:val="both"/>
        <w:rPr>
          <w:lang w:val="en-GB"/>
        </w:rPr>
      </w:pPr>
    </w:p>
    <w:p w14:paraId="6898ABBC" w14:textId="17BEF48A" w:rsidR="403015FE" w:rsidRPr="00681EA9" w:rsidRDefault="005C0FEB" w:rsidP="002E590D">
      <w:pPr>
        <w:pStyle w:val="Heading2"/>
        <w:spacing w:before="0" w:line="240" w:lineRule="auto"/>
        <w:ind w:firstLine="708"/>
        <w:rPr>
          <w:rFonts w:eastAsia="Segoe UI"/>
          <w:b/>
          <w:bCs/>
          <w:i/>
          <w:iCs/>
          <w:color w:val="auto"/>
          <w:lang w:val="en-GB"/>
        </w:rPr>
      </w:pPr>
      <w:bookmarkStart w:id="11" w:name="_Toc62149251"/>
      <w:r w:rsidRPr="00681EA9">
        <w:rPr>
          <w:rFonts w:eastAsia="Segoe UI"/>
          <w:b/>
          <w:bCs/>
          <w:i/>
          <w:iCs/>
          <w:color w:val="auto"/>
          <w:lang w:val="en-GB"/>
        </w:rPr>
        <w:t>4.</w:t>
      </w:r>
      <w:r w:rsidR="00591B2D" w:rsidRPr="00681EA9">
        <w:rPr>
          <w:rFonts w:eastAsia="Segoe UI"/>
          <w:b/>
          <w:bCs/>
          <w:i/>
          <w:iCs/>
          <w:color w:val="auto"/>
          <w:lang w:val="en-GB"/>
        </w:rPr>
        <w:t xml:space="preserve">4 </w:t>
      </w:r>
      <w:r w:rsidR="403015FE" w:rsidRPr="00681EA9">
        <w:rPr>
          <w:rFonts w:eastAsia="Segoe UI"/>
          <w:b/>
          <w:bCs/>
          <w:i/>
          <w:iCs/>
          <w:color w:val="auto"/>
          <w:lang w:val="en-GB"/>
        </w:rPr>
        <w:t>Basic capitation</w:t>
      </w:r>
      <w:bookmarkEnd w:id="11"/>
    </w:p>
    <w:p w14:paraId="7DBC396F" w14:textId="3EC0256E" w:rsidR="403015FE" w:rsidRDefault="00591B2D" w:rsidP="002E590D">
      <w:pPr>
        <w:spacing w:after="0" w:line="240" w:lineRule="auto"/>
        <w:jc w:val="both"/>
        <w:rPr>
          <w:lang w:val="en-GB"/>
        </w:rPr>
      </w:pPr>
      <w:r>
        <w:rPr>
          <w:lang w:val="en-GB"/>
        </w:rPr>
        <w:t>The following table summarises k</w:t>
      </w:r>
      <w:r w:rsidR="403015FE" w:rsidRPr="005053C3">
        <w:rPr>
          <w:lang w:val="en-GB"/>
        </w:rPr>
        <w:t>ey assumptions to calculate basic capitation</w:t>
      </w:r>
      <w:r>
        <w:rPr>
          <w:lang w:val="en-GB"/>
        </w:rPr>
        <w:t xml:space="preserve"> (table 6).</w:t>
      </w:r>
      <w:r w:rsidR="403015FE" w:rsidRPr="005053C3">
        <w:rPr>
          <w:lang w:val="en-GB"/>
        </w:rPr>
        <w:t xml:space="preserve"> </w:t>
      </w:r>
    </w:p>
    <w:p w14:paraId="294057AA" w14:textId="64E8F2DE" w:rsidR="00591B2D" w:rsidRPr="005053C3" w:rsidRDefault="00591B2D" w:rsidP="002E590D">
      <w:pPr>
        <w:spacing w:after="0" w:line="240" w:lineRule="auto"/>
        <w:jc w:val="both"/>
        <w:rPr>
          <w:lang w:val="en-GB"/>
        </w:rPr>
      </w:pPr>
      <w:r w:rsidRPr="00007562">
        <w:rPr>
          <w:b/>
          <w:bCs/>
          <w:lang w:val="en-GB"/>
        </w:rPr>
        <w:t>Table 6.</w:t>
      </w:r>
      <w:r>
        <w:rPr>
          <w:lang w:val="en-GB"/>
        </w:rPr>
        <w:t xml:space="preserve"> Assumptions</w:t>
      </w:r>
      <w:r w:rsidR="00007562">
        <w:rPr>
          <w:lang w:val="en-GB"/>
        </w:rPr>
        <w:t xml:space="preserve"> for basic capitation</w:t>
      </w:r>
    </w:p>
    <w:tbl>
      <w:tblPr>
        <w:tblStyle w:val="GridTable5Dark-Accent5"/>
        <w:tblW w:w="9197" w:type="dxa"/>
        <w:tblLayout w:type="fixed"/>
        <w:tblLook w:val="06A0" w:firstRow="1" w:lastRow="0" w:firstColumn="1" w:lastColumn="0" w:noHBand="1" w:noVBand="1"/>
      </w:tblPr>
      <w:tblGrid>
        <w:gridCol w:w="6439"/>
        <w:gridCol w:w="2758"/>
      </w:tblGrid>
      <w:tr w:rsidR="00F5069E" w:rsidRPr="00F5069E" w14:paraId="45485705" w14:textId="570B791A" w:rsidTr="0010217A">
        <w:trPr>
          <w:cnfStyle w:val="100000000000" w:firstRow="1" w:lastRow="0" w:firstColumn="0" w:lastColumn="0" w:oddVBand="0" w:evenVBand="0" w:oddHBand="0" w:evenHBand="0" w:firstRowFirstColumn="0" w:firstRowLastColumn="0" w:lastRowFirstColumn="0" w:lastRowLastColumn="0"/>
          <w:trHeight w:val="328"/>
          <w:tblHeader/>
        </w:trPr>
        <w:tc>
          <w:tcPr>
            <w:cnfStyle w:val="001000000000" w:firstRow="0" w:lastRow="0" w:firstColumn="1" w:lastColumn="0" w:oddVBand="0" w:evenVBand="0" w:oddHBand="0" w:evenHBand="0" w:firstRowFirstColumn="0" w:firstRowLastColumn="0" w:lastRowFirstColumn="0" w:lastRowLastColumn="0"/>
            <w:tcW w:w="6439" w:type="dxa"/>
          </w:tcPr>
          <w:p w14:paraId="4463BA29" w14:textId="1224E690" w:rsidR="000F573F" w:rsidRPr="00F5069E" w:rsidRDefault="000F573F" w:rsidP="002E590D">
            <w:pPr>
              <w:rPr>
                <w:color w:val="auto"/>
              </w:rPr>
            </w:pPr>
            <w:r w:rsidRPr="00F5069E">
              <w:rPr>
                <w:rFonts w:ascii="Calibri" w:eastAsia="Calibri" w:hAnsi="Calibri" w:cs="Calibri"/>
                <w:color w:val="auto"/>
                <w:sz w:val="20"/>
                <w:szCs w:val="20"/>
              </w:rPr>
              <w:t>Baseline scenario</w:t>
            </w:r>
          </w:p>
        </w:tc>
        <w:tc>
          <w:tcPr>
            <w:tcW w:w="2758" w:type="dxa"/>
          </w:tcPr>
          <w:p w14:paraId="0CC51C84" w14:textId="3B41A8B3" w:rsidR="000F573F" w:rsidRPr="00F5069E" w:rsidRDefault="000F573F" w:rsidP="002E590D">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cs="Calibri"/>
                <w:color w:val="auto"/>
                <w:sz w:val="20"/>
                <w:szCs w:val="20"/>
              </w:rPr>
            </w:pPr>
            <w:r w:rsidRPr="00F5069E">
              <w:rPr>
                <w:rFonts w:ascii="Calibri" w:eastAsia="Calibri" w:hAnsi="Calibri" w:cs="Calibri"/>
                <w:color w:val="auto"/>
                <w:sz w:val="20"/>
                <w:szCs w:val="20"/>
              </w:rPr>
              <w:t>Assumptions</w:t>
            </w:r>
          </w:p>
        </w:tc>
      </w:tr>
      <w:tr w:rsidR="00F5069E" w:rsidRPr="00F5069E" w14:paraId="34BEB62D" w14:textId="02D5B218" w:rsidTr="000F573F">
        <w:trPr>
          <w:trHeight w:val="242"/>
        </w:trPr>
        <w:tc>
          <w:tcPr>
            <w:cnfStyle w:val="001000000000" w:firstRow="0" w:lastRow="0" w:firstColumn="1" w:lastColumn="0" w:oddVBand="0" w:evenVBand="0" w:oddHBand="0" w:evenHBand="0" w:firstRowFirstColumn="0" w:firstRowLastColumn="0" w:lastRowFirstColumn="0" w:lastRowLastColumn="0"/>
            <w:tcW w:w="6439" w:type="dxa"/>
          </w:tcPr>
          <w:p w14:paraId="4030D72D" w14:textId="1D57C41B" w:rsidR="000F573F" w:rsidRPr="00F5069E" w:rsidRDefault="000F573F" w:rsidP="002E590D">
            <w:pPr>
              <w:rPr>
                <w:rFonts w:ascii="Calibri" w:eastAsia="Calibri" w:hAnsi="Calibri" w:cs="Calibri"/>
                <w:color w:val="auto"/>
                <w:sz w:val="20"/>
                <w:szCs w:val="20"/>
              </w:rPr>
            </w:pPr>
            <w:r w:rsidRPr="00F5069E">
              <w:rPr>
                <w:rFonts w:ascii="Calibri" w:eastAsia="Calibri" w:hAnsi="Calibri" w:cs="Calibri"/>
                <w:color w:val="auto"/>
                <w:sz w:val="20"/>
                <w:szCs w:val="20"/>
              </w:rPr>
              <w:t>Population coverage</w:t>
            </w:r>
          </w:p>
        </w:tc>
        <w:tc>
          <w:tcPr>
            <w:tcW w:w="2758" w:type="dxa"/>
          </w:tcPr>
          <w:p w14:paraId="644CB571" w14:textId="63252D6E" w:rsidR="000F573F" w:rsidRPr="00F5069E" w:rsidRDefault="000F573F" w:rsidP="002E590D">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F5069E">
              <w:rPr>
                <w:rFonts w:ascii="Calibri" w:eastAsia="Calibri" w:hAnsi="Calibri" w:cs="Calibri"/>
                <w:sz w:val="20"/>
                <w:szCs w:val="20"/>
              </w:rPr>
              <w:t>94%</w:t>
            </w:r>
          </w:p>
        </w:tc>
      </w:tr>
      <w:tr w:rsidR="00F5069E" w:rsidRPr="00F5069E" w14:paraId="7EB6B61E" w14:textId="26C2B61E" w:rsidTr="000F573F">
        <w:trPr>
          <w:trHeight w:val="242"/>
        </w:trPr>
        <w:tc>
          <w:tcPr>
            <w:cnfStyle w:val="001000000000" w:firstRow="0" w:lastRow="0" w:firstColumn="1" w:lastColumn="0" w:oddVBand="0" w:evenVBand="0" w:oddHBand="0" w:evenHBand="0" w:firstRowFirstColumn="0" w:firstRowLastColumn="0" w:lastRowFirstColumn="0" w:lastRowLastColumn="0"/>
            <w:tcW w:w="6439" w:type="dxa"/>
          </w:tcPr>
          <w:p w14:paraId="079BF522" w14:textId="6752C840" w:rsidR="000F573F" w:rsidRPr="00F5069E" w:rsidRDefault="000F573F" w:rsidP="002E590D">
            <w:pPr>
              <w:rPr>
                <w:rFonts w:ascii="Calibri" w:eastAsia="Calibri" w:hAnsi="Calibri" w:cs="Calibri"/>
                <w:color w:val="auto"/>
                <w:sz w:val="20"/>
                <w:szCs w:val="20"/>
              </w:rPr>
            </w:pPr>
            <w:r w:rsidRPr="00F5069E">
              <w:rPr>
                <w:rFonts w:ascii="Calibri" w:eastAsia="Calibri" w:hAnsi="Calibri" w:cs="Calibri"/>
                <w:color w:val="auto"/>
                <w:sz w:val="20"/>
                <w:szCs w:val="20"/>
              </w:rPr>
              <w:t>Patient list size for single practitioner</w:t>
            </w:r>
          </w:p>
        </w:tc>
        <w:tc>
          <w:tcPr>
            <w:tcW w:w="2758" w:type="dxa"/>
          </w:tcPr>
          <w:p w14:paraId="7010DF91" w14:textId="2E979996" w:rsidR="000F573F" w:rsidRPr="00F5069E" w:rsidRDefault="000F573F" w:rsidP="002E590D">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F5069E">
              <w:rPr>
                <w:rFonts w:ascii="Calibri" w:eastAsia="Calibri" w:hAnsi="Calibri" w:cs="Calibri"/>
                <w:sz w:val="20"/>
                <w:szCs w:val="20"/>
              </w:rPr>
              <w:t>1</w:t>
            </w:r>
            <w:r w:rsidR="004639AB" w:rsidRPr="00F5069E">
              <w:rPr>
                <w:rFonts w:ascii="Calibri" w:eastAsia="Calibri" w:hAnsi="Calibri" w:cs="Calibri"/>
                <w:sz w:val="20"/>
                <w:szCs w:val="20"/>
              </w:rPr>
              <w:t>,</w:t>
            </w:r>
            <w:r w:rsidRPr="00F5069E">
              <w:rPr>
                <w:rFonts w:ascii="Calibri" w:eastAsia="Calibri" w:hAnsi="Calibri" w:cs="Calibri"/>
                <w:sz w:val="20"/>
                <w:szCs w:val="20"/>
              </w:rPr>
              <w:t>500</w:t>
            </w:r>
          </w:p>
        </w:tc>
      </w:tr>
      <w:tr w:rsidR="00F5069E" w:rsidRPr="00F5069E" w14:paraId="22C19AF6" w14:textId="77777777" w:rsidTr="000F573F">
        <w:trPr>
          <w:trHeight w:val="242"/>
        </w:trPr>
        <w:tc>
          <w:tcPr>
            <w:cnfStyle w:val="001000000000" w:firstRow="0" w:lastRow="0" w:firstColumn="1" w:lastColumn="0" w:oddVBand="0" w:evenVBand="0" w:oddHBand="0" w:evenHBand="0" w:firstRowFirstColumn="0" w:firstRowLastColumn="0" w:lastRowFirstColumn="0" w:lastRowLastColumn="0"/>
            <w:tcW w:w="6439" w:type="dxa"/>
          </w:tcPr>
          <w:p w14:paraId="4DFCF106" w14:textId="2FCC5717" w:rsidR="000F573F" w:rsidRPr="00F5069E" w:rsidRDefault="000F573F" w:rsidP="002E590D">
            <w:pPr>
              <w:rPr>
                <w:rFonts w:ascii="Calibri" w:eastAsia="Calibri" w:hAnsi="Calibri" w:cs="Calibri"/>
                <w:color w:val="auto"/>
                <w:sz w:val="20"/>
                <w:szCs w:val="20"/>
              </w:rPr>
            </w:pPr>
            <w:r w:rsidRPr="00F5069E">
              <w:rPr>
                <w:rFonts w:ascii="Calibri" w:eastAsia="Calibri" w:hAnsi="Calibri" w:cs="Calibri"/>
                <w:color w:val="auto"/>
                <w:sz w:val="20"/>
                <w:szCs w:val="20"/>
              </w:rPr>
              <w:t>Patient list size for group practitioner with at least 5 FDs</w:t>
            </w:r>
          </w:p>
        </w:tc>
        <w:tc>
          <w:tcPr>
            <w:tcW w:w="2758" w:type="dxa"/>
          </w:tcPr>
          <w:p w14:paraId="7BB76032" w14:textId="0B4D4689" w:rsidR="000F573F" w:rsidRPr="00F5069E" w:rsidRDefault="000F573F" w:rsidP="002E590D">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F5069E">
              <w:rPr>
                <w:rFonts w:ascii="Calibri" w:eastAsia="Calibri" w:hAnsi="Calibri" w:cs="Calibri"/>
                <w:sz w:val="20"/>
                <w:szCs w:val="20"/>
              </w:rPr>
              <w:t>2</w:t>
            </w:r>
            <w:r w:rsidR="004639AB" w:rsidRPr="00F5069E">
              <w:rPr>
                <w:rFonts w:ascii="Calibri" w:eastAsia="Calibri" w:hAnsi="Calibri" w:cs="Calibri"/>
                <w:sz w:val="20"/>
                <w:szCs w:val="20"/>
              </w:rPr>
              <w:t>,</w:t>
            </w:r>
            <w:r w:rsidRPr="00F5069E">
              <w:rPr>
                <w:rFonts w:ascii="Calibri" w:eastAsia="Calibri" w:hAnsi="Calibri" w:cs="Calibri"/>
                <w:sz w:val="20"/>
                <w:szCs w:val="20"/>
              </w:rPr>
              <w:t>000</w:t>
            </w:r>
          </w:p>
        </w:tc>
      </w:tr>
      <w:tr w:rsidR="00F5069E" w:rsidRPr="00F5069E" w14:paraId="54831E3D" w14:textId="79AE85E5" w:rsidTr="000F573F">
        <w:trPr>
          <w:trHeight w:val="242"/>
        </w:trPr>
        <w:tc>
          <w:tcPr>
            <w:cnfStyle w:val="001000000000" w:firstRow="0" w:lastRow="0" w:firstColumn="1" w:lastColumn="0" w:oddVBand="0" w:evenVBand="0" w:oddHBand="0" w:evenHBand="0" w:firstRowFirstColumn="0" w:firstRowLastColumn="0" w:lastRowFirstColumn="0" w:lastRowLastColumn="0"/>
            <w:tcW w:w="6439" w:type="dxa"/>
          </w:tcPr>
          <w:p w14:paraId="47EC9A11" w14:textId="5BD3AB2F" w:rsidR="000F573F" w:rsidRPr="00F5069E" w:rsidRDefault="00C73F6E" w:rsidP="002E590D">
            <w:pPr>
              <w:rPr>
                <w:rFonts w:ascii="Calibri" w:eastAsia="Calibri" w:hAnsi="Calibri" w:cs="Calibri"/>
                <w:color w:val="auto"/>
                <w:sz w:val="20"/>
                <w:szCs w:val="20"/>
              </w:rPr>
            </w:pPr>
            <w:r w:rsidRPr="00F5069E">
              <w:rPr>
                <w:rFonts w:ascii="Calibri" w:eastAsia="Calibri" w:hAnsi="Calibri" w:cs="Calibri"/>
                <w:color w:val="auto"/>
                <w:sz w:val="20"/>
                <w:szCs w:val="20"/>
              </w:rPr>
              <w:t>FD</w:t>
            </w:r>
            <w:r w:rsidR="000F573F" w:rsidRPr="00F5069E">
              <w:rPr>
                <w:rFonts w:ascii="Calibri" w:eastAsia="Calibri" w:hAnsi="Calibri" w:cs="Calibri"/>
                <w:color w:val="auto"/>
                <w:sz w:val="20"/>
                <w:szCs w:val="20"/>
              </w:rPr>
              <w:t xml:space="preserve"> monthly salary (paid to rural providers with taxes)</w:t>
            </w:r>
          </w:p>
        </w:tc>
        <w:tc>
          <w:tcPr>
            <w:tcW w:w="2758" w:type="dxa"/>
          </w:tcPr>
          <w:p w14:paraId="5468C3A7" w14:textId="53EA037A" w:rsidR="000F573F" w:rsidRPr="00F5069E" w:rsidRDefault="000F573F" w:rsidP="002E590D">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F5069E">
              <w:rPr>
                <w:rFonts w:ascii="Calibri" w:eastAsia="Calibri" w:hAnsi="Calibri" w:cs="Calibri"/>
                <w:sz w:val="20"/>
                <w:szCs w:val="20"/>
              </w:rPr>
              <w:t>927</w:t>
            </w:r>
            <w:r w:rsidR="0010217A" w:rsidRPr="00F5069E">
              <w:rPr>
                <w:rFonts w:ascii="Calibri" w:eastAsia="Calibri" w:hAnsi="Calibri" w:cs="Calibri"/>
                <w:sz w:val="20"/>
                <w:szCs w:val="20"/>
              </w:rPr>
              <w:t>.</w:t>
            </w:r>
            <w:r w:rsidRPr="00F5069E">
              <w:rPr>
                <w:rFonts w:ascii="Calibri" w:eastAsia="Calibri" w:hAnsi="Calibri" w:cs="Calibri"/>
                <w:sz w:val="20"/>
                <w:szCs w:val="20"/>
              </w:rPr>
              <w:t>00</w:t>
            </w:r>
          </w:p>
        </w:tc>
      </w:tr>
      <w:tr w:rsidR="00F5069E" w:rsidRPr="00F5069E" w14:paraId="381BC124" w14:textId="1BD50DAF" w:rsidTr="000F573F">
        <w:trPr>
          <w:trHeight w:val="242"/>
        </w:trPr>
        <w:tc>
          <w:tcPr>
            <w:cnfStyle w:val="001000000000" w:firstRow="0" w:lastRow="0" w:firstColumn="1" w:lastColumn="0" w:oddVBand="0" w:evenVBand="0" w:oddHBand="0" w:evenHBand="0" w:firstRowFirstColumn="0" w:firstRowLastColumn="0" w:lastRowFirstColumn="0" w:lastRowLastColumn="0"/>
            <w:tcW w:w="6439" w:type="dxa"/>
          </w:tcPr>
          <w:p w14:paraId="42A11D99" w14:textId="795C92EB" w:rsidR="000F573F" w:rsidRPr="00F5069E" w:rsidRDefault="00C73F6E" w:rsidP="002E590D">
            <w:pPr>
              <w:rPr>
                <w:rFonts w:ascii="Calibri" w:eastAsia="Calibri" w:hAnsi="Calibri" w:cs="Calibri"/>
                <w:color w:val="auto"/>
                <w:sz w:val="20"/>
                <w:szCs w:val="20"/>
              </w:rPr>
            </w:pPr>
            <w:r w:rsidRPr="00F5069E">
              <w:rPr>
                <w:rFonts w:ascii="Calibri" w:eastAsia="Calibri" w:hAnsi="Calibri" w:cs="Calibri"/>
                <w:color w:val="auto"/>
                <w:sz w:val="20"/>
                <w:szCs w:val="20"/>
              </w:rPr>
              <w:t>FN</w:t>
            </w:r>
            <w:r w:rsidR="000F573F" w:rsidRPr="00F5069E">
              <w:rPr>
                <w:rFonts w:ascii="Calibri" w:eastAsia="Calibri" w:hAnsi="Calibri" w:cs="Calibri"/>
                <w:color w:val="auto"/>
                <w:sz w:val="20"/>
                <w:szCs w:val="20"/>
              </w:rPr>
              <w:t xml:space="preserve"> monthly salary (paid to rural providers with taxes)</w:t>
            </w:r>
          </w:p>
        </w:tc>
        <w:tc>
          <w:tcPr>
            <w:tcW w:w="2758" w:type="dxa"/>
          </w:tcPr>
          <w:p w14:paraId="58E6E53F" w14:textId="78590BF4" w:rsidR="000F573F" w:rsidRPr="00F5069E" w:rsidRDefault="000F573F" w:rsidP="002E590D">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F5069E">
              <w:rPr>
                <w:rFonts w:ascii="Calibri" w:eastAsia="Calibri" w:hAnsi="Calibri" w:cs="Calibri"/>
                <w:sz w:val="20"/>
                <w:szCs w:val="20"/>
              </w:rPr>
              <w:t>685</w:t>
            </w:r>
            <w:r w:rsidR="0010217A" w:rsidRPr="00F5069E">
              <w:rPr>
                <w:rFonts w:ascii="Calibri" w:eastAsia="Calibri" w:hAnsi="Calibri" w:cs="Calibri"/>
                <w:sz w:val="20"/>
                <w:szCs w:val="20"/>
              </w:rPr>
              <w:t>.</w:t>
            </w:r>
            <w:r w:rsidRPr="00F5069E">
              <w:rPr>
                <w:rFonts w:ascii="Calibri" w:eastAsia="Calibri" w:hAnsi="Calibri" w:cs="Calibri"/>
                <w:sz w:val="20"/>
                <w:szCs w:val="20"/>
              </w:rPr>
              <w:t>98</w:t>
            </w:r>
          </w:p>
        </w:tc>
      </w:tr>
      <w:tr w:rsidR="00F5069E" w:rsidRPr="00F5069E" w14:paraId="3A2FC0AD" w14:textId="18A2A27D" w:rsidTr="000F573F">
        <w:trPr>
          <w:trHeight w:val="242"/>
        </w:trPr>
        <w:tc>
          <w:tcPr>
            <w:cnfStyle w:val="001000000000" w:firstRow="0" w:lastRow="0" w:firstColumn="1" w:lastColumn="0" w:oddVBand="0" w:evenVBand="0" w:oddHBand="0" w:evenHBand="0" w:firstRowFirstColumn="0" w:firstRowLastColumn="0" w:lastRowFirstColumn="0" w:lastRowLastColumn="0"/>
            <w:tcW w:w="6439" w:type="dxa"/>
          </w:tcPr>
          <w:p w14:paraId="53BFE59E" w14:textId="4530BA0D" w:rsidR="000F573F" w:rsidRPr="00F5069E" w:rsidRDefault="000F573F" w:rsidP="002E590D">
            <w:pPr>
              <w:rPr>
                <w:rFonts w:ascii="Calibri" w:eastAsia="Calibri" w:hAnsi="Calibri" w:cs="Calibri"/>
                <w:color w:val="auto"/>
                <w:sz w:val="20"/>
                <w:szCs w:val="20"/>
              </w:rPr>
            </w:pPr>
            <w:r w:rsidRPr="00F5069E">
              <w:rPr>
                <w:rFonts w:ascii="Calibri" w:eastAsia="Calibri" w:hAnsi="Calibri" w:cs="Calibri"/>
                <w:color w:val="auto"/>
                <w:sz w:val="20"/>
                <w:szCs w:val="20"/>
              </w:rPr>
              <w:t>Working hours/week</w:t>
            </w:r>
          </w:p>
        </w:tc>
        <w:tc>
          <w:tcPr>
            <w:tcW w:w="2758" w:type="dxa"/>
          </w:tcPr>
          <w:p w14:paraId="2C2ACA40" w14:textId="7D805E88" w:rsidR="000F573F" w:rsidRPr="00F5069E" w:rsidRDefault="000F573F" w:rsidP="002E590D">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F5069E">
              <w:rPr>
                <w:rFonts w:ascii="Calibri" w:eastAsia="Calibri" w:hAnsi="Calibri" w:cs="Calibri"/>
                <w:sz w:val="20"/>
                <w:szCs w:val="20"/>
              </w:rPr>
              <w:t>40</w:t>
            </w:r>
          </w:p>
        </w:tc>
      </w:tr>
      <w:tr w:rsidR="00F5069E" w:rsidRPr="00F5069E" w14:paraId="25DB61AA" w14:textId="6BAE2ACB" w:rsidTr="000F573F">
        <w:trPr>
          <w:trHeight w:val="242"/>
        </w:trPr>
        <w:tc>
          <w:tcPr>
            <w:cnfStyle w:val="001000000000" w:firstRow="0" w:lastRow="0" w:firstColumn="1" w:lastColumn="0" w:oddVBand="0" w:evenVBand="0" w:oddHBand="0" w:evenHBand="0" w:firstRowFirstColumn="0" w:firstRowLastColumn="0" w:lastRowFirstColumn="0" w:lastRowLastColumn="0"/>
            <w:tcW w:w="6439" w:type="dxa"/>
          </w:tcPr>
          <w:p w14:paraId="314B48FB" w14:textId="3782BE91" w:rsidR="000F573F" w:rsidRPr="00F5069E" w:rsidRDefault="000F573F" w:rsidP="002E590D">
            <w:pPr>
              <w:rPr>
                <w:rFonts w:ascii="Calibri" w:eastAsia="Calibri" w:hAnsi="Calibri" w:cs="Calibri"/>
                <w:color w:val="auto"/>
                <w:sz w:val="20"/>
                <w:szCs w:val="20"/>
              </w:rPr>
            </w:pPr>
            <w:r w:rsidRPr="00F5069E">
              <w:rPr>
                <w:rFonts w:ascii="Calibri" w:eastAsia="Calibri" w:hAnsi="Calibri" w:cs="Calibri"/>
                <w:color w:val="auto"/>
                <w:sz w:val="20"/>
                <w:szCs w:val="20"/>
              </w:rPr>
              <w:t xml:space="preserve">Working days/year </w:t>
            </w:r>
          </w:p>
        </w:tc>
        <w:tc>
          <w:tcPr>
            <w:tcW w:w="2758" w:type="dxa"/>
          </w:tcPr>
          <w:p w14:paraId="15D08EFF" w14:textId="7875916C" w:rsidR="000F573F" w:rsidRPr="00F5069E" w:rsidRDefault="000F573F" w:rsidP="002E590D">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F5069E">
              <w:rPr>
                <w:rFonts w:ascii="Calibri" w:eastAsia="Calibri" w:hAnsi="Calibri" w:cs="Calibri"/>
                <w:sz w:val="20"/>
                <w:szCs w:val="20"/>
              </w:rPr>
              <w:t>242</w:t>
            </w:r>
          </w:p>
        </w:tc>
      </w:tr>
      <w:tr w:rsidR="00F5069E" w:rsidRPr="00F5069E" w14:paraId="0B059F6F" w14:textId="5ED160AE" w:rsidTr="000F573F">
        <w:trPr>
          <w:trHeight w:val="242"/>
        </w:trPr>
        <w:tc>
          <w:tcPr>
            <w:cnfStyle w:val="001000000000" w:firstRow="0" w:lastRow="0" w:firstColumn="1" w:lastColumn="0" w:oddVBand="0" w:evenVBand="0" w:oddHBand="0" w:evenHBand="0" w:firstRowFirstColumn="0" w:firstRowLastColumn="0" w:lastRowFirstColumn="0" w:lastRowLastColumn="0"/>
            <w:tcW w:w="6439" w:type="dxa"/>
          </w:tcPr>
          <w:p w14:paraId="2CD98F83" w14:textId="0F318541" w:rsidR="000F573F" w:rsidRPr="00F5069E" w:rsidRDefault="000F573F" w:rsidP="002E590D">
            <w:pPr>
              <w:rPr>
                <w:rFonts w:ascii="Calibri" w:eastAsia="Calibri" w:hAnsi="Calibri" w:cs="Calibri"/>
                <w:color w:val="auto"/>
                <w:sz w:val="20"/>
                <w:szCs w:val="20"/>
              </w:rPr>
            </w:pPr>
            <w:r w:rsidRPr="00F5069E">
              <w:rPr>
                <w:rFonts w:ascii="Calibri" w:eastAsia="Calibri" w:hAnsi="Calibri" w:cs="Calibri"/>
                <w:color w:val="auto"/>
                <w:sz w:val="20"/>
                <w:szCs w:val="20"/>
              </w:rPr>
              <w:t xml:space="preserve">Holidays/year </w:t>
            </w:r>
          </w:p>
        </w:tc>
        <w:tc>
          <w:tcPr>
            <w:tcW w:w="2758" w:type="dxa"/>
          </w:tcPr>
          <w:p w14:paraId="26B6F8C3" w14:textId="3367A872" w:rsidR="000F573F" w:rsidRPr="00F5069E" w:rsidRDefault="000F573F" w:rsidP="002E590D">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F5069E">
              <w:rPr>
                <w:rFonts w:ascii="Calibri" w:eastAsia="Calibri" w:hAnsi="Calibri" w:cs="Calibri"/>
                <w:sz w:val="20"/>
                <w:szCs w:val="20"/>
              </w:rPr>
              <w:t>24</w:t>
            </w:r>
          </w:p>
        </w:tc>
      </w:tr>
      <w:tr w:rsidR="00F5069E" w:rsidRPr="00F5069E" w14:paraId="2AA778BB" w14:textId="10C50E3D" w:rsidTr="000F573F">
        <w:trPr>
          <w:trHeight w:val="242"/>
        </w:trPr>
        <w:tc>
          <w:tcPr>
            <w:cnfStyle w:val="001000000000" w:firstRow="0" w:lastRow="0" w:firstColumn="1" w:lastColumn="0" w:oddVBand="0" w:evenVBand="0" w:oddHBand="0" w:evenHBand="0" w:firstRowFirstColumn="0" w:firstRowLastColumn="0" w:lastRowFirstColumn="0" w:lastRowLastColumn="0"/>
            <w:tcW w:w="6439" w:type="dxa"/>
          </w:tcPr>
          <w:p w14:paraId="14D7922B" w14:textId="52F88A77" w:rsidR="000F573F" w:rsidRPr="00F5069E" w:rsidRDefault="000F573F" w:rsidP="002E590D">
            <w:pPr>
              <w:rPr>
                <w:rFonts w:ascii="Calibri" w:eastAsia="Calibri" w:hAnsi="Calibri" w:cs="Calibri"/>
                <w:color w:val="auto"/>
                <w:sz w:val="20"/>
                <w:szCs w:val="20"/>
              </w:rPr>
            </w:pPr>
            <w:r w:rsidRPr="00F5069E">
              <w:rPr>
                <w:rFonts w:ascii="Calibri" w:eastAsia="Calibri" w:hAnsi="Calibri" w:cs="Calibri"/>
                <w:color w:val="auto"/>
                <w:sz w:val="20"/>
                <w:szCs w:val="20"/>
              </w:rPr>
              <w:t>Utilities</w:t>
            </w:r>
          </w:p>
        </w:tc>
        <w:tc>
          <w:tcPr>
            <w:tcW w:w="2758" w:type="dxa"/>
          </w:tcPr>
          <w:p w14:paraId="5B433A06" w14:textId="7726A8D0" w:rsidR="000F573F" w:rsidRPr="00F5069E" w:rsidRDefault="000F573F" w:rsidP="002E590D">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F5069E">
              <w:rPr>
                <w:rFonts w:ascii="Calibri" w:eastAsia="Calibri" w:hAnsi="Calibri" w:cs="Calibri"/>
                <w:sz w:val="20"/>
                <w:szCs w:val="20"/>
              </w:rPr>
              <w:t>Included</w:t>
            </w:r>
          </w:p>
        </w:tc>
      </w:tr>
      <w:tr w:rsidR="00F5069E" w:rsidRPr="00F5069E" w14:paraId="390238A6" w14:textId="4BD22C6F" w:rsidTr="000F573F">
        <w:trPr>
          <w:trHeight w:val="242"/>
        </w:trPr>
        <w:tc>
          <w:tcPr>
            <w:cnfStyle w:val="001000000000" w:firstRow="0" w:lastRow="0" w:firstColumn="1" w:lastColumn="0" w:oddVBand="0" w:evenVBand="0" w:oddHBand="0" w:evenHBand="0" w:firstRowFirstColumn="0" w:firstRowLastColumn="0" w:lastRowFirstColumn="0" w:lastRowLastColumn="0"/>
            <w:tcW w:w="6439" w:type="dxa"/>
          </w:tcPr>
          <w:p w14:paraId="4BFA3B9B" w14:textId="3FA31B78" w:rsidR="000F573F" w:rsidRPr="00F5069E" w:rsidRDefault="000F573F" w:rsidP="002E590D">
            <w:pPr>
              <w:rPr>
                <w:rFonts w:ascii="Calibri" w:eastAsia="Calibri" w:hAnsi="Calibri" w:cs="Calibri"/>
                <w:color w:val="auto"/>
                <w:sz w:val="20"/>
                <w:szCs w:val="20"/>
              </w:rPr>
            </w:pPr>
            <w:r w:rsidRPr="00F5069E">
              <w:rPr>
                <w:rFonts w:ascii="Calibri" w:eastAsia="Calibri" w:hAnsi="Calibri" w:cs="Calibri"/>
                <w:color w:val="auto"/>
                <w:sz w:val="20"/>
                <w:szCs w:val="20"/>
              </w:rPr>
              <w:t xml:space="preserve">Medical equipment </w:t>
            </w:r>
          </w:p>
        </w:tc>
        <w:tc>
          <w:tcPr>
            <w:tcW w:w="2758" w:type="dxa"/>
          </w:tcPr>
          <w:p w14:paraId="436B3F7F" w14:textId="421DAFD8" w:rsidR="000F573F" w:rsidRPr="00F5069E" w:rsidRDefault="000F573F" w:rsidP="002E590D">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F5069E">
              <w:rPr>
                <w:rFonts w:ascii="Calibri" w:eastAsia="Calibri" w:hAnsi="Calibri" w:cs="Calibri"/>
                <w:sz w:val="20"/>
                <w:szCs w:val="20"/>
              </w:rPr>
              <w:t>Included</w:t>
            </w:r>
          </w:p>
        </w:tc>
      </w:tr>
      <w:tr w:rsidR="00F5069E" w:rsidRPr="00F5069E" w14:paraId="362B9DFD" w14:textId="5B1C3BA7" w:rsidTr="000F573F">
        <w:trPr>
          <w:trHeight w:val="242"/>
        </w:trPr>
        <w:tc>
          <w:tcPr>
            <w:cnfStyle w:val="001000000000" w:firstRow="0" w:lastRow="0" w:firstColumn="1" w:lastColumn="0" w:oddVBand="0" w:evenVBand="0" w:oddHBand="0" w:evenHBand="0" w:firstRowFirstColumn="0" w:firstRowLastColumn="0" w:lastRowFirstColumn="0" w:lastRowLastColumn="0"/>
            <w:tcW w:w="6439" w:type="dxa"/>
          </w:tcPr>
          <w:p w14:paraId="6736C49A" w14:textId="62BB78DB" w:rsidR="000F573F" w:rsidRPr="00F5069E" w:rsidRDefault="000F573F" w:rsidP="002E590D">
            <w:pPr>
              <w:rPr>
                <w:color w:val="auto"/>
              </w:rPr>
            </w:pPr>
            <w:r w:rsidRPr="00F5069E">
              <w:rPr>
                <w:rFonts w:ascii="Calibri" w:eastAsia="Calibri" w:hAnsi="Calibri" w:cs="Calibri"/>
                <w:color w:val="auto"/>
                <w:sz w:val="20"/>
                <w:szCs w:val="20"/>
              </w:rPr>
              <w:t>Medicines</w:t>
            </w:r>
          </w:p>
        </w:tc>
        <w:tc>
          <w:tcPr>
            <w:tcW w:w="2758" w:type="dxa"/>
          </w:tcPr>
          <w:p w14:paraId="099E5BB6" w14:textId="3227424F" w:rsidR="000F573F" w:rsidRPr="00F5069E" w:rsidRDefault="000F573F" w:rsidP="002E590D">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F5069E">
              <w:rPr>
                <w:rFonts w:ascii="Calibri" w:eastAsia="Calibri" w:hAnsi="Calibri" w:cs="Calibri"/>
                <w:sz w:val="20"/>
                <w:szCs w:val="20"/>
              </w:rPr>
              <w:t>Included</w:t>
            </w:r>
          </w:p>
        </w:tc>
      </w:tr>
      <w:tr w:rsidR="00F5069E" w:rsidRPr="00F5069E" w14:paraId="0E2D8A19" w14:textId="002919E1" w:rsidTr="000F573F">
        <w:trPr>
          <w:trHeight w:val="242"/>
        </w:trPr>
        <w:tc>
          <w:tcPr>
            <w:cnfStyle w:val="001000000000" w:firstRow="0" w:lastRow="0" w:firstColumn="1" w:lastColumn="0" w:oddVBand="0" w:evenVBand="0" w:oddHBand="0" w:evenHBand="0" w:firstRowFirstColumn="0" w:firstRowLastColumn="0" w:lastRowFirstColumn="0" w:lastRowLastColumn="0"/>
            <w:tcW w:w="6439" w:type="dxa"/>
          </w:tcPr>
          <w:p w14:paraId="0142A576" w14:textId="15129B1A" w:rsidR="000F573F" w:rsidRPr="00F5069E" w:rsidRDefault="000F573F" w:rsidP="002E590D">
            <w:pPr>
              <w:rPr>
                <w:rFonts w:ascii="Calibri" w:eastAsia="Calibri" w:hAnsi="Calibri" w:cs="Calibri"/>
                <w:color w:val="auto"/>
                <w:sz w:val="20"/>
                <w:szCs w:val="20"/>
              </w:rPr>
            </w:pPr>
            <w:r w:rsidRPr="00F5069E">
              <w:rPr>
                <w:rFonts w:ascii="Calibri" w:eastAsia="Calibri" w:hAnsi="Calibri" w:cs="Calibri"/>
                <w:color w:val="auto"/>
                <w:sz w:val="20"/>
                <w:szCs w:val="20"/>
              </w:rPr>
              <w:t xml:space="preserve">COVID-related PPE </w:t>
            </w:r>
          </w:p>
        </w:tc>
        <w:tc>
          <w:tcPr>
            <w:tcW w:w="2758" w:type="dxa"/>
          </w:tcPr>
          <w:p w14:paraId="15FC347F" w14:textId="75CEBC47" w:rsidR="000F573F" w:rsidRPr="00F5069E" w:rsidRDefault="000F573F" w:rsidP="002E590D">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F5069E">
              <w:rPr>
                <w:rFonts w:ascii="Calibri" w:eastAsia="Calibri" w:hAnsi="Calibri" w:cs="Calibri"/>
                <w:sz w:val="20"/>
                <w:szCs w:val="20"/>
              </w:rPr>
              <w:t>Included</w:t>
            </w:r>
          </w:p>
        </w:tc>
      </w:tr>
      <w:tr w:rsidR="00F5069E" w:rsidRPr="00F5069E" w14:paraId="085FEF79" w14:textId="7FE374C0" w:rsidTr="000F573F">
        <w:trPr>
          <w:trHeight w:val="242"/>
        </w:trPr>
        <w:tc>
          <w:tcPr>
            <w:cnfStyle w:val="001000000000" w:firstRow="0" w:lastRow="0" w:firstColumn="1" w:lastColumn="0" w:oddVBand="0" w:evenVBand="0" w:oddHBand="0" w:evenHBand="0" w:firstRowFirstColumn="0" w:firstRowLastColumn="0" w:lastRowFirstColumn="0" w:lastRowLastColumn="0"/>
            <w:tcW w:w="6439" w:type="dxa"/>
          </w:tcPr>
          <w:p w14:paraId="314FA1C5" w14:textId="46029A89" w:rsidR="000F573F" w:rsidRPr="00F5069E" w:rsidRDefault="000F573F" w:rsidP="002E590D">
            <w:pPr>
              <w:rPr>
                <w:rFonts w:ascii="Calibri" w:eastAsia="Calibri" w:hAnsi="Calibri" w:cs="Calibri"/>
                <w:color w:val="auto"/>
                <w:sz w:val="20"/>
                <w:szCs w:val="20"/>
              </w:rPr>
            </w:pPr>
            <w:r w:rsidRPr="00F5069E">
              <w:rPr>
                <w:rFonts w:ascii="Calibri" w:eastAsia="Calibri" w:hAnsi="Calibri" w:cs="Calibri"/>
                <w:color w:val="auto"/>
                <w:sz w:val="20"/>
                <w:szCs w:val="20"/>
              </w:rPr>
              <w:t xml:space="preserve">Square meter per FD and </w:t>
            </w:r>
            <w:r w:rsidR="00C73F6E" w:rsidRPr="00F5069E">
              <w:rPr>
                <w:rFonts w:ascii="Calibri" w:eastAsia="Calibri" w:hAnsi="Calibri" w:cs="Calibri"/>
                <w:color w:val="auto"/>
                <w:sz w:val="20"/>
                <w:szCs w:val="20"/>
              </w:rPr>
              <w:t>FN</w:t>
            </w:r>
            <w:r w:rsidRPr="00F5069E">
              <w:rPr>
                <w:rFonts w:ascii="Calibri" w:eastAsia="Calibri" w:hAnsi="Calibri" w:cs="Calibri"/>
                <w:color w:val="auto"/>
                <w:sz w:val="20"/>
                <w:szCs w:val="20"/>
              </w:rPr>
              <w:t xml:space="preserve"> for single practitioner</w:t>
            </w:r>
          </w:p>
        </w:tc>
        <w:tc>
          <w:tcPr>
            <w:tcW w:w="2758" w:type="dxa"/>
          </w:tcPr>
          <w:p w14:paraId="0521B420" w14:textId="79C9BCB6" w:rsidR="000F573F" w:rsidRPr="00F5069E" w:rsidRDefault="000F573F" w:rsidP="002E590D">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F5069E">
              <w:rPr>
                <w:rFonts w:ascii="Calibri" w:eastAsia="Calibri" w:hAnsi="Calibri" w:cs="Calibri"/>
                <w:sz w:val="20"/>
                <w:szCs w:val="20"/>
              </w:rPr>
              <w:t>52</w:t>
            </w:r>
          </w:p>
        </w:tc>
      </w:tr>
      <w:tr w:rsidR="00F5069E" w:rsidRPr="00F5069E" w14:paraId="47F36623" w14:textId="77777777" w:rsidTr="000F573F">
        <w:trPr>
          <w:trHeight w:val="242"/>
        </w:trPr>
        <w:tc>
          <w:tcPr>
            <w:cnfStyle w:val="001000000000" w:firstRow="0" w:lastRow="0" w:firstColumn="1" w:lastColumn="0" w:oddVBand="0" w:evenVBand="0" w:oddHBand="0" w:evenHBand="0" w:firstRowFirstColumn="0" w:firstRowLastColumn="0" w:lastRowFirstColumn="0" w:lastRowLastColumn="0"/>
            <w:tcW w:w="6439" w:type="dxa"/>
          </w:tcPr>
          <w:p w14:paraId="1444697E" w14:textId="6FFC0F97" w:rsidR="000F573F" w:rsidRPr="00F5069E" w:rsidRDefault="000F573F" w:rsidP="002E590D">
            <w:pPr>
              <w:rPr>
                <w:rFonts w:ascii="Calibri" w:eastAsia="Calibri" w:hAnsi="Calibri" w:cs="Calibri"/>
                <w:color w:val="auto"/>
                <w:sz w:val="20"/>
                <w:szCs w:val="20"/>
              </w:rPr>
            </w:pPr>
            <w:r w:rsidRPr="00F5069E">
              <w:rPr>
                <w:rFonts w:ascii="Calibri" w:eastAsia="Calibri" w:hAnsi="Calibri" w:cs="Calibri"/>
                <w:color w:val="auto"/>
                <w:sz w:val="20"/>
                <w:szCs w:val="20"/>
              </w:rPr>
              <w:t>Square meters for a group practice with at least 5 FDs</w:t>
            </w:r>
          </w:p>
        </w:tc>
        <w:tc>
          <w:tcPr>
            <w:tcW w:w="2758" w:type="dxa"/>
          </w:tcPr>
          <w:p w14:paraId="1F8FD23B" w14:textId="7424532A" w:rsidR="000F573F" w:rsidRPr="00F5069E" w:rsidRDefault="000F573F" w:rsidP="002E590D">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F5069E">
              <w:rPr>
                <w:rFonts w:ascii="Calibri" w:eastAsia="Calibri" w:hAnsi="Calibri" w:cs="Calibri"/>
                <w:sz w:val="20"/>
                <w:szCs w:val="20"/>
              </w:rPr>
              <w:t>280</w:t>
            </w:r>
          </w:p>
        </w:tc>
      </w:tr>
      <w:tr w:rsidR="00F5069E" w:rsidRPr="00F5069E" w14:paraId="0CDF9816" w14:textId="0EF2C619" w:rsidTr="000F573F">
        <w:trPr>
          <w:trHeight w:val="242"/>
        </w:trPr>
        <w:tc>
          <w:tcPr>
            <w:cnfStyle w:val="001000000000" w:firstRow="0" w:lastRow="0" w:firstColumn="1" w:lastColumn="0" w:oddVBand="0" w:evenVBand="0" w:oddHBand="0" w:evenHBand="0" w:firstRowFirstColumn="0" w:firstRowLastColumn="0" w:lastRowFirstColumn="0" w:lastRowLastColumn="0"/>
            <w:tcW w:w="6439" w:type="dxa"/>
          </w:tcPr>
          <w:p w14:paraId="1D8B9EAB" w14:textId="33FE3631" w:rsidR="000F573F" w:rsidRPr="00F5069E" w:rsidRDefault="000F573F" w:rsidP="002E590D">
            <w:pPr>
              <w:rPr>
                <w:rFonts w:ascii="Calibri" w:eastAsia="Calibri" w:hAnsi="Calibri" w:cs="Calibri"/>
                <w:color w:val="auto"/>
                <w:sz w:val="20"/>
                <w:szCs w:val="20"/>
              </w:rPr>
            </w:pPr>
            <w:r w:rsidRPr="00F5069E">
              <w:rPr>
                <w:rFonts w:ascii="Calibri" w:eastAsia="Calibri" w:hAnsi="Calibri" w:cs="Calibri"/>
                <w:color w:val="auto"/>
                <w:sz w:val="20"/>
                <w:szCs w:val="20"/>
              </w:rPr>
              <w:t>Training days</w:t>
            </w:r>
          </w:p>
        </w:tc>
        <w:tc>
          <w:tcPr>
            <w:tcW w:w="2758" w:type="dxa"/>
          </w:tcPr>
          <w:p w14:paraId="67317759" w14:textId="1B6C43C5" w:rsidR="000F573F" w:rsidRPr="00F5069E" w:rsidRDefault="000F573F" w:rsidP="002E590D">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F5069E">
              <w:rPr>
                <w:rFonts w:ascii="Calibri" w:eastAsia="Calibri" w:hAnsi="Calibri" w:cs="Calibri"/>
                <w:sz w:val="20"/>
                <w:szCs w:val="20"/>
              </w:rPr>
              <w:t>10</w:t>
            </w:r>
          </w:p>
        </w:tc>
      </w:tr>
      <w:tr w:rsidR="00F5069E" w:rsidRPr="00F5069E" w14:paraId="0FC44C17" w14:textId="145FF949" w:rsidTr="000F573F">
        <w:trPr>
          <w:trHeight w:val="242"/>
        </w:trPr>
        <w:tc>
          <w:tcPr>
            <w:cnfStyle w:val="001000000000" w:firstRow="0" w:lastRow="0" w:firstColumn="1" w:lastColumn="0" w:oddVBand="0" w:evenVBand="0" w:oddHBand="0" w:evenHBand="0" w:firstRowFirstColumn="0" w:firstRowLastColumn="0" w:lastRowFirstColumn="0" w:lastRowLastColumn="0"/>
            <w:tcW w:w="6439" w:type="dxa"/>
          </w:tcPr>
          <w:p w14:paraId="1C7140DE" w14:textId="657E4066" w:rsidR="000F573F" w:rsidRPr="00F5069E" w:rsidRDefault="000F573F" w:rsidP="002E590D">
            <w:pPr>
              <w:rPr>
                <w:rFonts w:ascii="Calibri" w:eastAsia="Calibri" w:hAnsi="Calibri" w:cs="Calibri"/>
                <w:color w:val="auto"/>
                <w:sz w:val="20"/>
                <w:szCs w:val="20"/>
              </w:rPr>
            </w:pPr>
            <w:r w:rsidRPr="00F5069E">
              <w:rPr>
                <w:rFonts w:ascii="Calibri" w:eastAsia="Calibri" w:hAnsi="Calibri" w:cs="Calibri"/>
                <w:color w:val="auto"/>
                <w:sz w:val="20"/>
                <w:szCs w:val="20"/>
              </w:rPr>
              <w:t>Specialist services</w:t>
            </w:r>
          </w:p>
        </w:tc>
        <w:tc>
          <w:tcPr>
            <w:tcW w:w="2758" w:type="dxa"/>
          </w:tcPr>
          <w:p w14:paraId="1A21C3C9" w14:textId="5B1F7DF0" w:rsidR="000F573F" w:rsidRPr="00F5069E" w:rsidRDefault="000F573F" w:rsidP="002E590D">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F5069E">
              <w:rPr>
                <w:rFonts w:ascii="Calibri" w:eastAsia="Calibri" w:hAnsi="Calibri" w:cs="Calibri"/>
                <w:sz w:val="20"/>
                <w:szCs w:val="20"/>
              </w:rPr>
              <w:t>Excluded</w:t>
            </w:r>
          </w:p>
        </w:tc>
      </w:tr>
      <w:tr w:rsidR="00F5069E" w:rsidRPr="00F5069E" w14:paraId="48CF8FAB" w14:textId="1A553055" w:rsidTr="000F573F">
        <w:trPr>
          <w:trHeight w:val="242"/>
        </w:trPr>
        <w:tc>
          <w:tcPr>
            <w:cnfStyle w:val="001000000000" w:firstRow="0" w:lastRow="0" w:firstColumn="1" w:lastColumn="0" w:oddVBand="0" w:evenVBand="0" w:oddHBand="0" w:evenHBand="0" w:firstRowFirstColumn="0" w:firstRowLastColumn="0" w:lastRowFirstColumn="0" w:lastRowLastColumn="0"/>
            <w:tcW w:w="6439" w:type="dxa"/>
          </w:tcPr>
          <w:p w14:paraId="35BC935C" w14:textId="01F549F6" w:rsidR="000F573F" w:rsidRPr="00F5069E" w:rsidRDefault="000F573F" w:rsidP="002E590D">
            <w:pPr>
              <w:rPr>
                <w:rFonts w:ascii="Calibri" w:eastAsia="Calibri" w:hAnsi="Calibri" w:cs="Calibri"/>
                <w:color w:val="auto"/>
                <w:sz w:val="20"/>
                <w:szCs w:val="20"/>
              </w:rPr>
            </w:pPr>
            <w:r w:rsidRPr="00F5069E">
              <w:rPr>
                <w:rFonts w:ascii="Calibri" w:eastAsia="Calibri" w:hAnsi="Calibri" w:cs="Calibri"/>
                <w:color w:val="auto"/>
                <w:sz w:val="20"/>
                <w:szCs w:val="20"/>
              </w:rPr>
              <w:t>Share of OOPs</w:t>
            </w:r>
          </w:p>
        </w:tc>
        <w:tc>
          <w:tcPr>
            <w:tcW w:w="2758" w:type="dxa"/>
          </w:tcPr>
          <w:p w14:paraId="2969DF11" w14:textId="6759B286" w:rsidR="000F573F" w:rsidRPr="00F5069E" w:rsidRDefault="000F573F" w:rsidP="002E590D">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F5069E">
              <w:rPr>
                <w:rFonts w:ascii="Calibri" w:eastAsia="Calibri" w:hAnsi="Calibri" w:cs="Calibri"/>
                <w:sz w:val="20"/>
                <w:szCs w:val="20"/>
              </w:rPr>
              <w:t>0%</w:t>
            </w:r>
          </w:p>
        </w:tc>
      </w:tr>
      <w:tr w:rsidR="00F5069E" w:rsidRPr="00F5069E" w14:paraId="31B30BD3" w14:textId="1C112BCF" w:rsidTr="000F573F">
        <w:trPr>
          <w:trHeight w:val="242"/>
        </w:trPr>
        <w:tc>
          <w:tcPr>
            <w:cnfStyle w:val="001000000000" w:firstRow="0" w:lastRow="0" w:firstColumn="1" w:lastColumn="0" w:oddVBand="0" w:evenVBand="0" w:oddHBand="0" w:evenHBand="0" w:firstRowFirstColumn="0" w:firstRowLastColumn="0" w:lastRowFirstColumn="0" w:lastRowLastColumn="0"/>
            <w:tcW w:w="6439" w:type="dxa"/>
          </w:tcPr>
          <w:p w14:paraId="5D32FC3C" w14:textId="72FC8ED6" w:rsidR="000F573F" w:rsidRPr="00F5069E" w:rsidRDefault="000F573F" w:rsidP="002E590D">
            <w:pPr>
              <w:rPr>
                <w:rFonts w:ascii="Calibri" w:eastAsia="Calibri" w:hAnsi="Calibri" w:cs="Calibri"/>
                <w:color w:val="auto"/>
                <w:sz w:val="20"/>
                <w:szCs w:val="20"/>
              </w:rPr>
            </w:pPr>
            <w:r w:rsidRPr="00F5069E">
              <w:rPr>
                <w:rFonts w:ascii="Calibri" w:eastAsia="Calibri" w:hAnsi="Calibri" w:cs="Calibri"/>
                <w:color w:val="auto"/>
                <w:sz w:val="20"/>
                <w:szCs w:val="20"/>
              </w:rPr>
              <w:t>Management staff for group practices with at least 5 FDs</w:t>
            </w:r>
          </w:p>
        </w:tc>
        <w:tc>
          <w:tcPr>
            <w:tcW w:w="2758" w:type="dxa"/>
          </w:tcPr>
          <w:p w14:paraId="2EE34179" w14:textId="677A2DCE" w:rsidR="000F573F" w:rsidRPr="00F5069E" w:rsidRDefault="000F573F" w:rsidP="002E590D">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F5069E">
              <w:rPr>
                <w:rFonts w:ascii="Calibri" w:eastAsia="Calibri" w:hAnsi="Calibri" w:cs="Calibri"/>
                <w:sz w:val="20"/>
                <w:szCs w:val="20"/>
              </w:rPr>
              <w:t>1,5</w:t>
            </w:r>
          </w:p>
        </w:tc>
      </w:tr>
      <w:tr w:rsidR="00F5069E" w:rsidRPr="00F5069E" w14:paraId="078754D0" w14:textId="77777777" w:rsidTr="000F573F">
        <w:trPr>
          <w:trHeight w:val="242"/>
        </w:trPr>
        <w:tc>
          <w:tcPr>
            <w:cnfStyle w:val="001000000000" w:firstRow="0" w:lastRow="0" w:firstColumn="1" w:lastColumn="0" w:oddVBand="0" w:evenVBand="0" w:oddHBand="0" w:evenHBand="0" w:firstRowFirstColumn="0" w:firstRowLastColumn="0" w:lastRowFirstColumn="0" w:lastRowLastColumn="0"/>
            <w:tcW w:w="6439" w:type="dxa"/>
          </w:tcPr>
          <w:p w14:paraId="724B712A" w14:textId="30C8E666" w:rsidR="000F573F" w:rsidRPr="00F5069E" w:rsidRDefault="000F573F" w:rsidP="002E590D">
            <w:pPr>
              <w:rPr>
                <w:rFonts w:ascii="Calibri" w:eastAsia="Calibri" w:hAnsi="Calibri" w:cs="Calibri"/>
                <w:color w:val="auto"/>
                <w:sz w:val="20"/>
                <w:szCs w:val="20"/>
              </w:rPr>
            </w:pPr>
            <w:r w:rsidRPr="00F5069E">
              <w:rPr>
                <w:rFonts w:ascii="Calibri" w:eastAsia="Calibri" w:hAnsi="Calibri" w:cs="Calibri"/>
                <w:color w:val="auto"/>
                <w:sz w:val="20"/>
                <w:szCs w:val="20"/>
              </w:rPr>
              <w:t>Supporting staff for group practices with at least 5 FDs (speech therapist, dietitian etc)</w:t>
            </w:r>
          </w:p>
        </w:tc>
        <w:tc>
          <w:tcPr>
            <w:tcW w:w="2758" w:type="dxa"/>
          </w:tcPr>
          <w:p w14:paraId="5341534A" w14:textId="7C25CE5F" w:rsidR="000F573F" w:rsidRPr="00F5069E" w:rsidRDefault="000F573F" w:rsidP="002E590D">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20"/>
                <w:szCs w:val="20"/>
              </w:rPr>
            </w:pPr>
            <w:r w:rsidRPr="00F5069E">
              <w:rPr>
                <w:rFonts w:ascii="Calibri" w:eastAsia="Calibri" w:hAnsi="Calibri" w:cs="Calibri"/>
                <w:sz w:val="20"/>
                <w:szCs w:val="20"/>
              </w:rPr>
              <w:t>1,5</w:t>
            </w:r>
          </w:p>
        </w:tc>
      </w:tr>
    </w:tbl>
    <w:p w14:paraId="185B64C9" w14:textId="77777777" w:rsidR="00D54144" w:rsidRDefault="00D54144" w:rsidP="002E590D">
      <w:pPr>
        <w:spacing w:after="0" w:line="240" w:lineRule="auto"/>
        <w:jc w:val="both"/>
        <w:rPr>
          <w:lang w:val="en-GB"/>
        </w:rPr>
      </w:pPr>
    </w:p>
    <w:p w14:paraId="4F769CEE" w14:textId="57BA09D6" w:rsidR="00FC00C6" w:rsidRDefault="5728E392" w:rsidP="002E590D">
      <w:pPr>
        <w:spacing w:after="0" w:line="240" w:lineRule="auto"/>
        <w:jc w:val="both"/>
        <w:rPr>
          <w:lang w:val="en-GB"/>
        </w:rPr>
      </w:pPr>
      <w:r w:rsidRPr="000F573F">
        <w:rPr>
          <w:lang w:val="en-GB"/>
        </w:rPr>
        <w:t>T</w:t>
      </w:r>
      <w:r w:rsidR="0456FF8B" w:rsidRPr="000F573F">
        <w:rPr>
          <w:lang w:val="en-GB"/>
        </w:rPr>
        <w:t>o calculate t</w:t>
      </w:r>
      <w:r w:rsidR="4ABBF6D4" w:rsidRPr="000F573F">
        <w:rPr>
          <w:lang w:val="en-GB"/>
        </w:rPr>
        <w:t>he</w:t>
      </w:r>
      <w:r w:rsidR="0456FF8B" w:rsidRPr="000F573F">
        <w:rPr>
          <w:lang w:val="en-GB"/>
        </w:rPr>
        <w:t xml:space="preserve"> budget impact</w:t>
      </w:r>
      <w:r w:rsidR="1BBB0A61" w:rsidRPr="000F573F">
        <w:rPr>
          <w:lang w:val="en-GB"/>
        </w:rPr>
        <w:t>,</w:t>
      </w:r>
      <w:r w:rsidRPr="000F573F">
        <w:rPr>
          <w:lang w:val="en-GB"/>
        </w:rPr>
        <w:t xml:space="preserve"> the share of the target population requiring treatment (“</w:t>
      </w:r>
      <w:r w:rsidR="47F2D6C3" w:rsidRPr="000F573F">
        <w:rPr>
          <w:lang w:val="en-GB"/>
        </w:rPr>
        <w:t xml:space="preserve">target </w:t>
      </w:r>
      <w:r w:rsidRPr="000F573F">
        <w:rPr>
          <w:lang w:val="en-GB"/>
        </w:rPr>
        <w:t xml:space="preserve">population”) is multiplied by the </w:t>
      </w:r>
      <w:r w:rsidR="3BD66CB5" w:rsidRPr="000F573F">
        <w:rPr>
          <w:lang w:val="en-GB"/>
        </w:rPr>
        <w:t>assumed population coverage</w:t>
      </w:r>
      <w:r w:rsidRPr="000F573F">
        <w:rPr>
          <w:lang w:val="en-GB"/>
        </w:rPr>
        <w:t>.</w:t>
      </w:r>
      <w:r w:rsidR="1B61EB6D" w:rsidRPr="000F573F">
        <w:rPr>
          <w:lang w:val="en-GB"/>
        </w:rPr>
        <w:t xml:space="preserve"> </w:t>
      </w:r>
      <w:r w:rsidR="000F573F" w:rsidRPr="000F573F">
        <w:rPr>
          <w:lang w:val="en-GB"/>
        </w:rPr>
        <w:t>T</w:t>
      </w:r>
      <w:r w:rsidR="1B61EB6D" w:rsidRPr="000F573F">
        <w:rPr>
          <w:lang w:val="en-GB"/>
        </w:rPr>
        <w:t xml:space="preserve">he average enrolment of patients </w:t>
      </w:r>
      <w:r w:rsidR="000F573F" w:rsidRPr="000F573F">
        <w:rPr>
          <w:lang w:val="en-GB"/>
        </w:rPr>
        <w:t xml:space="preserve">according to 2019 data </w:t>
      </w:r>
      <w:r w:rsidR="1B61EB6D" w:rsidRPr="000F573F">
        <w:rPr>
          <w:lang w:val="en-GB"/>
        </w:rPr>
        <w:t xml:space="preserve">is </w:t>
      </w:r>
      <w:r w:rsidR="000F573F" w:rsidRPr="000F573F">
        <w:rPr>
          <w:lang w:val="en-GB"/>
        </w:rPr>
        <w:t>94</w:t>
      </w:r>
      <w:r w:rsidR="1B61EB6D" w:rsidRPr="000F573F">
        <w:rPr>
          <w:lang w:val="en-GB"/>
        </w:rPr>
        <w:t>%</w:t>
      </w:r>
      <w:r w:rsidR="000F573F" w:rsidRPr="000F573F">
        <w:rPr>
          <w:lang w:val="en-GB"/>
        </w:rPr>
        <w:t xml:space="preserve"> of</w:t>
      </w:r>
      <w:r w:rsidR="1B61EB6D" w:rsidRPr="000F573F">
        <w:rPr>
          <w:lang w:val="en-GB"/>
        </w:rPr>
        <w:t xml:space="preserve"> the </w:t>
      </w:r>
      <w:r w:rsidR="000F573F" w:rsidRPr="000F573F">
        <w:rPr>
          <w:lang w:val="en-GB"/>
        </w:rPr>
        <w:t xml:space="preserve">population. </w:t>
      </w:r>
    </w:p>
    <w:p w14:paraId="171832C2" w14:textId="77777777" w:rsidR="00007562" w:rsidRPr="000F573F" w:rsidRDefault="00007562" w:rsidP="002E590D">
      <w:pPr>
        <w:spacing w:after="0" w:line="240" w:lineRule="auto"/>
        <w:jc w:val="both"/>
        <w:rPr>
          <w:lang w:val="en-GB"/>
        </w:rPr>
      </w:pPr>
    </w:p>
    <w:p w14:paraId="0826F0F3" w14:textId="160EAC65" w:rsidR="00FC00C6" w:rsidRDefault="5728E392" w:rsidP="002E590D">
      <w:pPr>
        <w:spacing w:after="0" w:line="240" w:lineRule="auto"/>
        <w:jc w:val="both"/>
        <w:rPr>
          <w:lang w:val="en-GB"/>
        </w:rPr>
      </w:pPr>
      <w:r w:rsidRPr="000F573F">
        <w:rPr>
          <w:lang w:val="en-GB"/>
        </w:rPr>
        <w:t>To estimate per capita costs</w:t>
      </w:r>
      <w:r w:rsidR="00BD17E4" w:rsidRPr="000F573F">
        <w:rPr>
          <w:lang w:val="en-GB"/>
        </w:rPr>
        <w:t xml:space="preserve"> for a single practitioner</w:t>
      </w:r>
      <w:r w:rsidRPr="005053C3">
        <w:rPr>
          <w:lang w:val="en-GB"/>
        </w:rPr>
        <w:t xml:space="preserve">, the total costs for one FD and </w:t>
      </w:r>
      <w:r w:rsidR="00C73F6E">
        <w:rPr>
          <w:lang w:val="en-GB"/>
        </w:rPr>
        <w:t>FN</w:t>
      </w:r>
      <w:r w:rsidR="0509DFDD" w:rsidRPr="005053C3">
        <w:rPr>
          <w:lang w:val="en-GB"/>
        </w:rPr>
        <w:t xml:space="preserve"> team</w:t>
      </w:r>
      <w:r w:rsidRPr="005053C3">
        <w:rPr>
          <w:lang w:val="en-GB"/>
        </w:rPr>
        <w:t xml:space="preserve"> are divided by a practice size (</w:t>
      </w:r>
      <w:r w:rsidR="00BD17E4" w:rsidRPr="005053C3">
        <w:rPr>
          <w:lang w:val="en-GB"/>
        </w:rPr>
        <w:t>1</w:t>
      </w:r>
      <w:r w:rsidRPr="005053C3">
        <w:rPr>
          <w:lang w:val="en-GB"/>
        </w:rPr>
        <w:t xml:space="preserve">500 patients). </w:t>
      </w:r>
    </w:p>
    <w:p w14:paraId="79D5B1B0" w14:textId="77777777" w:rsidR="00007562" w:rsidRPr="005053C3" w:rsidRDefault="00007562" w:rsidP="002E590D">
      <w:pPr>
        <w:spacing w:after="0" w:line="240" w:lineRule="auto"/>
        <w:jc w:val="both"/>
        <w:rPr>
          <w:lang w:val="en-GB"/>
        </w:rPr>
      </w:pPr>
    </w:p>
    <w:p w14:paraId="7E537CCA" w14:textId="4BF8511E" w:rsidR="00FC00C6" w:rsidRDefault="00FC00C6" w:rsidP="002E590D">
      <w:pPr>
        <w:spacing w:after="0" w:line="240" w:lineRule="auto"/>
        <w:jc w:val="center"/>
        <w:rPr>
          <w:i/>
          <w:iCs/>
          <w:lang w:val="en-GB"/>
        </w:rPr>
      </w:pPr>
      <w:r w:rsidRPr="005053C3">
        <w:rPr>
          <w:i/>
          <w:iCs/>
          <w:lang w:val="en-GB"/>
        </w:rPr>
        <w:t xml:space="preserve">Basic Cost per Capita = Total basic costs for FD and </w:t>
      </w:r>
      <w:r w:rsidR="00C73F6E">
        <w:rPr>
          <w:i/>
          <w:iCs/>
          <w:lang w:val="en-GB"/>
        </w:rPr>
        <w:t>FN</w:t>
      </w:r>
      <w:r w:rsidRPr="005053C3">
        <w:rPr>
          <w:i/>
          <w:iCs/>
          <w:lang w:val="en-GB"/>
        </w:rPr>
        <w:t>/defined practice size</w:t>
      </w:r>
    </w:p>
    <w:p w14:paraId="104CCF1B" w14:textId="77777777" w:rsidR="00007562" w:rsidRPr="005053C3" w:rsidRDefault="00007562" w:rsidP="002E590D">
      <w:pPr>
        <w:spacing w:after="0" w:line="240" w:lineRule="auto"/>
        <w:jc w:val="center"/>
        <w:rPr>
          <w:i/>
          <w:iCs/>
          <w:lang w:val="en-GB"/>
        </w:rPr>
      </w:pPr>
    </w:p>
    <w:p w14:paraId="7F440445" w14:textId="1532E9CA" w:rsidR="00BD17E4" w:rsidRDefault="00BD17E4" w:rsidP="002E590D">
      <w:pPr>
        <w:spacing w:after="0" w:line="240" w:lineRule="auto"/>
        <w:jc w:val="both"/>
        <w:rPr>
          <w:lang w:val="en-GB"/>
        </w:rPr>
      </w:pPr>
      <w:r w:rsidRPr="005053C3">
        <w:rPr>
          <w:lang w:val="en-GB"/>
        </w:rPr>
        <w:t xml:space="preserve">To estimate per capita costs for a group practice, the total costs for five FD and </w:t>
      </w:r>
      <w:r w:rsidR="00C73F6E">
        <w:rPr>
          <w:lang w:val="en-GB"/>
        </w:rPr>
        <w:t>FN</w:t>
      </w:r>
      <w:r w:rsidRPr="005053C3">
        <w:rPr>
          <w:lang w:val="en-GB"/>
        </w:rPr>
        <w:t xml:space="preserve"> teams are divided by a defined practice size (2000 patients). </w:t>
      </w:r>
    </w:p>
    <w:p w14:paraId="617D0B99" w14:textId="77777777" w:rsidR="00007562" w:rsidRPr="005053C3" w:rsidRDefault="00007562" w:rsidP="002E590D">
      <w:pPr>
        <w:spacing w:after="0" w:line="240" w:lineRule="auto"/>
        <w:jc w:val="both"/>
        <w:rPr>
          <w:lang w:val="en-GB"/>
        </w:rPr>
      </w:pPr>
    </w:p>
    <w:p w14:paraId="475A5C2B" w14:textId="5D3FB1DD" w:rsidR="00BD17E4" w:rsidRDefault="00BD17E4" w:rsidP="002E590D">
      <w:pPr>
        <w:spacing w:after="0" w:line="240" w:lineRule="auto"/>
        <w:jc w:val="center"/>
        <w:rPr>
          <w:i/>
          <w:iCs/>
          <w:lang w:val="en-GB"/>
        </w:rPr>
      </w:pPr>
      <w:r w:rsidRPr="005053C3">
        <w:rPr>
          <w:i/>
          <w:iCs/>
          <w:lang w:val="en-GB"/>
        </w:rPr>
        <w:t xml:space="preserve">Group practice Cost per Capita = Total group practice costs for 5 FD and </w:t>
      </w:r>
      <w:r w:rsidR="00C73F6E">
        <w:rPr>
          <w:i/>
          <w:iCs/>
          <w:lang w:val="en-GB"/>
        </w:rPr>
        <w:t>FN</w:t>
      </w:r>
      <w:r w:rsidRPr="005053C3">
        <w:rPr>
          <w:i/>
          <w:iCs/>
          <w:lang w:val="en-GB"/>
        </w:rPr>
        <w:t xml:space="preserve"> teams/defined practice size</w:t>
      </w:r>
    </w:p>
    <w:p w14:paraId="6F975010" w14:textId="77777777" w:rsidR="00007562" w:rsidRPr="005053C3" w:rsidRDefault="00007562" w:rsidP="002E590D">
      <w:pPr>
        <w:spacing w:after="0" w:line="240" w:lineRule="auto"/>
        <w:jc w:val="center"/>
        <w:rPr>
          <w:i/>
          <w:iCs/>
          <w:lang w:val="en-GB"/>
        </w:rPr>
      </w:pPr>
    </w:p>
    <w:p w14:paraId="285E4AA0" w14:textId="03D2A701" w:rsidR="00D41A85" w:rsidRDefault="002C1823" w:rsidP="002E590D">
      <w:pPr>
        <w:spacing w:after="0" w:line="240" w:lineRule="auto"/>
        <w:jc w:val="both"/>
        <w:rPr>
          <w:lang w:val="en-GB"/>
        </w:rPr>
      </w:pPr>
      <w:r>
        <w:rPr>
          <w:lang w:val="en-GB"/>
        </w:rPr>
        <w:t>Considering</w:t>
      </w:r>
      <w:r w:rsidR="00D41A85">
        <w:rPr>
          <w:lang w:val="en-GB"/>
        </w:rPr>
        <w:t xml:space="preserve"> the </w:t>
      </w:r>
      <w:r w:rsidR="00743D89">
        <w:rPr>
          <w:lang w:val="en-GB"/>
        </w:rPr>
        <w:t>current provider structure and PHC organizational model, the group practice</w:t>
      </w:r>
      <w:r w:rsidR="0055554D">
        <w:rPr>
          <w:lang w:val="en-GB"/>
        </w:rPr>
        <w:t xml:space="preserve"> model would fit to urban PHC providers and most of the single practitioners are working </w:t>
      </w:r>
      <w:r w:rsidR="00C911AC">
        <w:rPr>
          <w:lang w:val="en-GB"/>
        </w:rPr>
        <w:t xml:space="preserve">in the rural setting.  Therefore, the urban providers capitation </w:t>
      </w:r>
      <w:r w:rsidR="00154284">
        <w:rPr>
          <w:lang w:val="en-GB"/>
        </w:rPr>
        <w:t>could be based on the group practice capitation payment.</w:t>
      </w:r>
      <w:r w:rsidR="00C911AC">
        <w:rPr>
          <w:lang w:val="en-GB"/>
        </w:rPr>
        <w:t xml:space="preserve"> </w:t>
      </w:r>
      <w:r w:rsidR="00EE2CBB">
        <w:rPr>
          <w:lang w:val="en-GB"/>
        </w:rPr>
        <w:t xml:space="preserve">Since the enrolment to rural providers is </w:t>
      </w:r>
      <w:r w:rsidR="00B54623">
        <w:rPr>
          <w:lang w:val="en-GB"/>
        </w:rPr>
        <w:t>through</w:t>
      </w:r>
      <w:r w:rsidR="00EE2CBB">
        <w:rPr>
          <w:lang w:val="en-GB"/>
        </w:rPr>
        <w:t xml:space="preserve"> catchment aera and automatic, the rural providers could be </w:t>
      </w:r>
      <w:r w:rsidR="00346954">
        <w:rPr>
          <w:lang w:val="en-GB"/>
        </w:rPr>
        <w:t>paid a lump sum</w:t>
      </w:r>
      <w:r w:rsidR="00A12134">
        <w:rPr>
          <w:lang w:val="en-GB"/>
        </w:rPr>
        <w:t>.</w:t>
      </w:r>
      <w:r w:rsidR="00613D98">
        <w:rPr>
          <w:lang w:val="en-GB"/>
        </w:rPr>
        <w:t xml:space="preserve"> The lump sum would </w:t>
      </w:r>
      <w:r w:rsidR="003B3E66">
        <w:rPr>
          <w:lang w:val="en-GB"/>
        </w:rPr>
        <w:t>be based on the average patient list size and capitation amount:</w:t>
      </w:r>
    </w:p>
    <w:p w14:paraId="435D806B" w14:textId="77777777" w:rsidR="00C401A3" w:rsidRDefault="00C401A3" w:rsidP="002E590D">
      <w:pPr>
        <w:spacing w:after="0" w:line="240" w:lineRule="auto"/>
        <w:jc w:val="both"/>
        <w:rPr>
          <w:lang w:val="en-GB"/>
        </w:rPr>
      </w:pPr>
    </w:p>
    <w:p w14:paraId="034C544D" w14:textId="751470E7" w:rsidR="003B3E66" w:rsidRDefault="003B3E66" w:rsidP="002E590D">
      <w:pPr>
        <w:spacing w:after="0" w:line="240" w:lineRule="auto"/>
        <w:jc w:val="center"/>
        <w:rPr>
          <w:i/>
          <w:iCs/>
          <w:lang w:val="en-GB"/>
        </w:rPr>
      </w:pPr>
      <w:r w:rsidRPr="003D1533">
        <w:rPr>
          <w:i/>
          <w:iCs/>
          <w:lang w:val="en-GB"/>
        </w:rPr>
        <w:t xml:space="preserve">Lump sum for rural providers = </w:t>
      </w:r>
      <w:r w:rsidR="00A17878" w:rsidRPr="003D1533">
        <w:rPr>
          <w:i/>
          <w:iCs/>
          <w:lang w:val="en-GB"/>
        </w:rPr>
        <w:t>Basic Cost per Capita*</w:t>
      </w:r>
      <w:r w:rsidRPr="003D1533">
        <w:rPr>
          <w:i/>
          <w:iCs/>
          <w:lang w:val="en-GB"/>
        </w:rPr>
        <w:t xml:space="preserve"> </w:t>
      </w:r>
      <w:r w:rsidR="00C871FA" w:rsidRPr="00C871FA">
        <w:rPr>
          <w:i/>
          <w:iCs/>
          <w:lang w:val="en-GB"/>
        </w:rPr>
        <w:t>defined practice size</w:t>
      </w:r>
    </w:p>
    <w:p w14:paraId="2C3C3B51" w14:textId="77777777" w:rsidR="00C401A3" w:rsidRPr="003D1533" w:rsidRDefault="00C401A3" w:rsidP="002E590D">
      <w:pPr>
        <w:spacing w:after="0" w:line="240" w:lineRule="auto"/>
        <w:jc w:val="center"/>
        <w:rPr>
          <w:i/>
          <w:iCs/>
          <w:lang w:val="en-GB"/>
        </w:rPr>
      </w:pPr>
    </w:p>
    <w:p w14:paraId="43A8B15D" w14:textId="205425AB" w:rsidR="00C871FA" w:rsidRDefault="00C871FA" w:rsidP="002E590D">
      <w:pPr>
        <w:spacing w:after="0" w:line="240" w:lineRule="auto"/>
        <w:jc w:val="both"/>
        <w:rPr>
          <w:lang w:val="en-GB"/>
        </w:rPr>
      </w:pPr>
      <w:r w:rsidRPr="005053C3">
        <w:rPr>
          <w:lang w:val="en-GB"/>
        </w:rPr>
        <w:lastRenderedPageBreak/>
        <w:t xml:space="preserve">The </w:t>
      </w:r>
      <w:r>
        <w:rPr>
          <w:lang w:val="en-GB"/>
        </w:rPr>
        <w:t xml:space="preserve">total </w:t>
      </w:r>
      <w:r w:rsidRPr="005053C3">
        <w:rPr>
          <w:lang w:val="en-GB"/>
        </w:rPr>
        <w:t>budget impact is calculated based on per capita costs</w:t>
      </w:r>
      <w:r>
        <w:rPr>
          <w:lang w:val="en-GB"/>
        </w:rPr>
        <w:t>, lump sum for rural providers</w:t>
      </w:r>
      <w:r w:rsidRPr="005053C3">
        <w:rPr>
          <w:lang w:val="en-GB"/>
        </w:rPr>
        <w:t xml:space="preserve"> and assumed population coverage. </w:t>
      </w:r>
    </w:p>
    <w:p w14:paraId="754E0002" w14:textId="77777777" w:rsidR="004639AB" w:rsidRPr="005053C3" w:rsidRDefault="004639AB" w:rsidP="002E590D">
      <w:pPr>
        <w:spacing w:after="0" w:line="240" w:lineRule="auto"/>
        <w:jc w:val="both"/>
        <w:rPr>
          <w:lang w:val="en-GB"/>
        </w:rPr>
      </w:pPr>
    </w:p>
    <w:p w14:paraId="58D49EC4" w14:textId="3CAB6564" w:rsidR="28CB06AF" w:rsidRPr="00681EA9" w:rsidRDefault="00C401A3" w:rsidP="002E590D">
      <w:pPr>
        <w:pStyle w:val="Heading2"/>
        <w:spacing w:before="0" w:line="240" w:lineRule="auto"/>
        <w:ind w:firstLine="708"/>
        <w:rPr>
          <w:b/>
          <w:bCs/>
          <w:i/>
          <w:iCs/>
          <w:color w:val="auto"/>
          <w:lang w:val="en-GB"/>
        </w:rPr>
      </w:pPr>
      <w:bookmarkStart w:id="12" w:name="_Toc62149252"/>
      <w:r w:rsidRPr="00681EA9">
        <w:rPr>
          <w:b/>
          <w:bCs/>
          <w:i/>
          <w:iCs/>
          <w:color w:val="auto"/>
          <w:lang w:val="en-GB"/>
        </w:rPr>
        <w:t xml:space="preserve">4.5 </w:t>
      </w:r>
      <w:r w:rsidR="28CB06AF" w:rsidRPr="00681EA9">
        <w:rPr>
          <w:b/>
          <w:bCs/>
          <w:i/>
          <w:iCs/>
          <w:color w:val="auto"/>
          <w:lang w:val="en-GB"/>
        </w:rPr>
        <w:t xml:space="preserve">Diagnostic </w:t>
      </w:r>
      <w:r w:rsidR="7EF1FBF9" w:rsidRPr="00681EA9">
        <w:rPr>
          <w:b/>
          <w:bCs/>
          <w:i/>
          <w:iCs/>
          <w:color w:val="auto"/>
          <w:lang w:val="en-GB"/>
        </w:rPr>
        <w:t xml:space="preserve">lab </w:t>
      </w:r>
      <w:r w:rsidR="28CB06AF" w:rsidRPr="00681EA9">
        <w:rPr>
          <w:b/>
          <w:bCs/>
          <w:i/>
          <w:iCs/>
          <w:color w:val="auto"/>
          <w:lang w:val="en-GB"/>
        </w:rPr>
        <w:t>tests and</w:t>
      </w:r>
      <w:r w:rsidR="318E79B3" w:rsidRPr="00681EA9">
        <w:rPr>
          <w:b/>
          <w:bCs/>
          <w:i/>
          <w:iCs/>
          <w:color w:val="auto"/>
          <w:lang w:val="en-GB"/>
        </w:rPr>
        <w:t xml:space="preserve"> </w:t>
      </w:r>
      <w:r w:rsidR="28CB06AF" w:rsidRPr="00681EA9">
        <w:rPr>
          <w:b/>
          <w:bCs/>
          <w:i/>
          <w:iCs/>
          <w:color w:val="auto"/>
          <w:lang w:val="en-GB"/>
        </w:rPr>
        <w:t>services</w:t>
      </w:r>
      <w:bookmarkEnd w:id="12"/>
    </w:p>
    <w:p w14:paraId="38B98147" w14:textId="376D0033" w:rsidR="00FC00C6" w:rsidRDefault="062EA38F" w:rsidP="002E590D">
      <w:pPr>
        <w:spacing w:after="0" w:line="240" w:lineRule="auto"/>
        <w:jc w:val="both"/>
        <w:rPr>
          <w:lang w:val="en-GB"/>
        </w:rPr>
      </w:pPr>
      <w:r w:rsidRPr="00681EA9">
        <w:rPr>
          <w:lang w:val="en-GB"/>
        </w:rPr>
        <w:t>Average market prices have been used f</w:t>
      </w:r>
      <w:r w:rsidR="00FC00C6" w:rsidRPr="00681EA9">
        <w:rPr>
          <w:lang w:val="en-GB"/>
        </w:rPr>
        <w:t>or laboratory test cost calculations.</w:t>
      </w:r>
      <w:r w:rsidR="74CDE2CD" w:rsidRPr="00681EA9">
        <w:rPr>
          <w:lang w:val="en-GB"/>
        </w:rPr>
        <w:t xml:space="preserve"> Cost comparison</w:t>
      </w:r>
      <w:r w:rsidR="3F2A5F23" w:rsidRPr="00681EA9">
        <w:rPr>
          <w:lang w:val="en-GB"/>
        </w:rPr>
        <w:t>s</w:t>
      </w:r>
      <w:r w:rsidR="74CDE2CD" w:rsidRPr="00681EA9">
        <w:rPr>
          <w:lang w:val="en-GB"/>
        </w:rPr>
        <w:t xml:space="preserve"> with </w:t>
      </w:r>
      <w:r w:rsidR="0F7C3034" w:rsidRPr="00681EA9">
        <w:rPr>
          <w:lang w:val="en-GB"/>
        </w:rPr>
        <w:t xml:space="preserve">prices in </w:t>
      </w:r>
      <w:r w:rsidR="74CDE2CD" w:rsidRPr="00681EA9">
        <w:rPr>
          <w:lang w:val="en-GB"/>
        </w:rPr>
        <w:t>Estonia</w:t>
      </w:r>
      <w:r w:rsidR="50591B75" w:rsidRPr="00681EA9">
        <w:rPr>
          <w:lang w:val="en-GB"/>
        </w:rPr>
        <w:t xml:space="preserve"> </w:t>
      </w:r>
      <w:r w:rsidR="00760490" w:rsidRPr="00681EA9">
        <w:rPr>
          <w:lang w:val="en-GB"/>
        </w:rPr>
        <w:t>suggest</w:t>
      </w:r>
      <w:r w:rsidR="74CDE2CD" w:rsidRPr="00681EA9">
        <w:rPr>
          <w:lang w:val="en-GB"/>
        </w:rPr>
        <w:t xml:space="preserve"> that </w:t>
      </w:r>
      <w:r w:rsidR="7A1F6FCE" w:rsidRPr="00681EA9">
        <w:rPr>
          <w:lang w:val="en-GB"/>
        </w:rPr>
        <w:t xml:space="preserve">some </w:t>
      </w:r>
      <w:r w:rsidR="3A065D77" w:rsidRPr="00681EA9">
        <w:rPr>
          <w:lang w:val="en-GB"/>
        </w:rPr>
        <w:t xml:space="preserve">diagnostic </w:t>
      </w:r>
      <w:r w:rsidR="74CDE2CD" w:rsidRPr="00681EA9">
        <w:rPr>
          <w:lang w:val="en-GB"/>
        </w:rPr>
        <w:t>price</w:t>
      </w:r>
      <w:r w:rsidR="1B8272BE" w:rsidRPr="00681EA9">
        <w:rPr>
          <w:lang w:val="en-GB"/>
        </w:rPr>
        <w:t>s</w:t>
      </w:r>
      <w:r w:rsidR="74CDE2CD" w:rsidRPr="00681EA9">
        <w:rPr>
          <w:lang w:val="en-GB"/>
        </w:rPr>
        <w:t xml:space="preserve"> are too </w:t>
      </w:r>
      <w:r w:rsidR="238EAA5A" w:rsidRPr="00681EA9">
        <w:rPr>
          <w:lang w:val="en-GB"/>
        </w:rPr>
        <w:t>high</w:t>
      </w:r>
      <w:r w:rsidR="0204E5B3" w:rsidRPr="00681EA9">
        <w:rPr>
          <w:lang w:val="en-GB"/>
        </w:rPr>
        <w:t>,</w:t>
      </w:r>
      <w:r w:rsidR="00760490" w:rsidRPr="00681EA9">
        <w:rPr>
          <w:lang w:val="en-GB"/>
        </w:rPr>
        <w:t xml:space="preserve"> considering differences in salary levels </w:t>
      </w:r>
      <w:r w:rsidR="00473A81" w:rsidRPr="00681EA9">
        <w:rPr>
          <w:lang w:val="en-GB"/>
        </w:rPr>
        <w:t>in Georgia and Estonia</w:t>
      </w:r>
      <w:r w:rsidR="7773BF78" w:rsidRPr="00681EA9">
        <w:rPr>
          <w:lang w:val="en-GB"/>
        </w:rPr>
        <w:t xml:space="preserve"> (</w:t>
      </w:r>
      <w:r w:rsidR="425C9593" w:rsidRPr="00681EA9">
        <w:rPr>
          <w:lang w:val="en-GB"/>
        </w:rPr>
        <w:t>s</w:t>
      </w:r>
      <w:r w:rsidR="7773BF78" w:rsidRPr="00681EA9">
        <w:rPr>
          <w:lang w:val="en-GB"/>
        </w:rPr>
        <w:t>ee</w:t>
      </w:r>
      <w:r w:rsidR="4FCCFA4A" w:rsidRPr="00681EA9">
        <w:rPr>
          <w:lang w:val="en-GB"/>
        </w:rPr>
        <w:t xml:space="preserve"> </w:t>
      </w:r>
      <w:r w:rsidR="1CFE663B" w:rsidRPr="00681EA9">
        <w:rPr>
          <w:lang w:val="en-GB"/>
        </w:rPr>
        <w:t>T</w:t>
      </w:r>
      <w:r w:rsidR="7773BF78" w:rsidRPr="00681EA9">
        <w:rPr>
          <w:lang w:val="en-GB"/>
        </w:rPr>
        <w:t>able</w:t>
      </w:r>
      <w:r w:rsidR="00D54144" w:rsidRPr="00681EA9">
        <w:rPr>
          <w:lang w:val="en-GB"/>
        </w:rPr>
        <w:t xml:space="preserve"> </w:t>
      </w:r>
      <w:r w:rsidR="00C401A3">
        <w:rPr>
          <w:lang w:val="en-GB"/>
        </w:rPr>
        <w:t>7</w:t>
      </w:r>
      <w:r w:rsidR="7773BF78" w:rsidRPr="005053C3">
        <w:rPr>
          <w:lang w:val="en-GB"/>
        </w:rPr>
        <w:t>)</w:t>
      </w:r>
      <w:r w:rsidR="7FB59002" w:rsidRPr="005053C3">
        <w:rPr>
          <w:lang w:val="en-GB"/>
        </w:rPr>
        <w:t xml:space="preserve">. </w:t>
      </w:r>
      <w:r w:rsidR="1D86EBFA" w:rsidRPr="005053C3">
        <w:rPr>
          <w:lang w:val="en-GB"/>
        </w:rPr>
        <w:t>It is evident that m</w:t>
      </w:r>
      <w:r w:rsidR="00622DE3" w:rsidRPr="005053C3">
        <w:rPr>
          <w:lang w:val="en-GB"/>
        </w:rPr>
        <w:t>arket competition has not resulted in lower prices</w:t>
      </w:r>
      <w:r w:rsidR="5166D39A" w:rsidRPr="005053C3">
        <w:rPr>
          <w:lang w:val="en-GB"/>
        </w:rPr>
        <w:t xml:space="preserve"> in Georgia</w:t>
      </w:r>
      <w:r w:rsidR="665F2C95" w:rsidRPr="005053C3">
        <w:rPr>
          <w:lang w:val="en-GB"/>
        </w:rPr>
        <w:t>,</w:t>
      </w:r>
      <w:r w:rsidR="00454B81" w:rsidRPr="005053C3">
        <w:rPr>
          <w:lang w:val="en-GB"/>
        </w:rPr>
        <w:t xml:space="preserve"> indicating inefficiencies in the </w:t>
      </w:r>
      <w:r w:rsidR="37193593" w:rsidRPr="005053C3">
        <w:rPr>
          <w:lang w:val="en-GB"/>
        </w:rPr>
        <w:t xml:space="preserve">health </w:t>
      </w:r>
      <w:r w:rsidR="00454B81" w:rsidRPr="005053C3">
        <w:rPr>
          <w:lang w:val="en-GB"/>
        </w:rPr>
        <w:t xml:space="preserve">system. </w:t>
      </w:r>
      <w:r w:rsidR="5D5A7100" w:rsidRPr="005053C3">
        <w:rPr>
          <w:lang w:val="en-GB"/>
        </w:rPr>
        <w:t>Therefore, a</w:t>
      </w:r>
      <w:r w:rsidR="4BDAE633" w:rsidRPr="005053C3">
        <w:rPr>
          <w:lang w:val="en-GB"/>
        </w:rPr>
        <w:t xml:space="preserve"> </w:t>
      </w:r>
      <w:r w:rsidR="00D84CAD" w:rsidRPr="005053C3">
        <w:rPr>
          <w:lang w:val="en-GB"/>
        </w:rPr>
        <w:t>move to</w:t>
      </w:r>
      <w:r w:rsidR="00B8387B" w:rsidRPr="005053C3">
        <w:rPr>
          <w:lang w:val="en-GB"/>
        </w:rPr>
        <w:t xml:space="preserve"> regulated</w:t>
      </w:r>
      <w:r w:rsidR="00D84CAD" w:rsidRPr="005053C3">
        <w:rPr>
          <w:lang w:val="en-GB"/>
        </w:rPr>
        <w:t xml:space="preserve"> prices</w:t>
      </w:r>
      <w:r w:rsidR="00020854" w:rsidRPr="005053C3">
        <w:rPr>
          <w:lang w:val="en-GB"/>
        </w:rPr>
        <w:t xml:space="preserve"> </w:t>
      </w:r>
      <w:r w:rsidR="00B8387B" w:rsidRPr="005053C3">
        <w:rPr>
          <w:lang w:val="en-GB"/>
        </w:rPr>
        <w:t>applied to all PHC providers</w:t>
      </w:r>
      <w:r w:rsidR="4FE47A0F" w:rsidRPr="005053C3">
        <w:rPr>
          <w:lang w:val="en-GB"/>
        </w:rPr>
        <w:t xml:space="preserve"> is highly recommended</w:t>
      </w:r>
      <w:r w:rsidR="200B4C35" w:rsidRPr="005053C3">
        <w:rPr>
          <w:lang w:val="en-GB"/>
        </w:rPr>
        <w:t xml:space="preserve"> and</w:t>
      </w:r>
      <w:r w:rsidR="00020854" w:rsidRPr="005053C3">
        <w:rPr>
          <w:lang w:val="en-GB"/>
        </w:rPr>
        <w:t xml:space="preserve"> b</w:t>
      </w:r>
      <w:r w:rsidR="00B8387B" w:rsidRPr="005053C3">
        <w:rPr>
          <w:lang w:val="en-GB"/>
        </w:rPr>
        <w:t xml:space="preserve">asic cost calculations </w:t>
      </w:r>
      <w:r w:rsidR="1215AE39" w:rsidRPr="005053C3">
        <w:rPr>
          <w:lang w:val="en-GB"/>
        </w:rPr>
        <w:t xml:space="preserve">are </w:t>
      </w:r>
      <w:r w:rsidR="11198386" w:rsidRPr="005053C3">
        <w:rPr>
          <w:lang w:val="en-GB"/>
        </w:rPr>
        <w:t>re</w:t>
      </w:r>
      <w:r w:rsidR="6F45E577" w:rsidRPr="005053C3">
        <w:rPr>
          <w:lang w:val="en-GB"/>
        </w:rPr>
        <w:t xml:space="preserve">quired </w:t>
      </w:r>
      <w:r w:rsidR="00B8387B" w:rsidRPr="005053C3">
        <w:rPr>
          <w:lang w:val="en-GB"/>
        </w:rPr>
        <w:t>to ensure adequate pricing.</w:t>
      </w:r>
      <w:r w:rsidR="006C7DB4" w:rsidRPr="005053C3">
        <w:rPr>
          <w:lang w:val="en-GB"/>
        </w:rPr>
        <w:t xml:space="preserve"> Unified prices are also important</w:t>
      </w:r>
      <w:r w:rsidR="523F75CF" w:rsidRPr="005053C3">
        <w:rPr>
          <w:lang w:val="en-GB"/>
        </w:rPr>
        <w:t xml:space="preserve"> especially for patient</w:t>
      </w:r>
      <w:r w:rsidR="75C54B22" w:rsidRPr="005053C3">
        <w:rPr>
          <w:lang w:val="en-GB"/>
        </w:rPr>
        <w:t xml:space="preserve"> </w:t>
      </w:r>
      <w:r w:rsidR="006C7DB4" w:rsidRPr="005053C3">
        <w:rPr>
          <w:lang w:val="en-GB"/>
        </w:rPr>
        <w:t xml:space="preserve">groups </w:t>
      </w:r>
      <w:r w:rsidR="7C3837A1" w:rsidRPr="005053C3">
        <w:rPr>
          <w:lang w:val="en-GB"/>
        </w:rPr>
        <w:t xml:space="preserve">who </w:t>
      </w:r>
      <w:r w:rsidR="5D99F2F8" w:rsidRPr="005053C3">
        <w:rPr>
          <w:lang w:val="en-GB"/>
        </w:rPr>
        <w:t>must</w:t>
      </w:r>
      <w:r w:rsidR="006C7DB4" w:rsidRPr="005053C3">
        <w:rPr>
          <w:lang w:val="en-GB"/>
        </w:rPr>
        <w:t xml:space="preserve"> pay co-payments</w:t>
      </w:r>
      <w:r w:rsidR="00C428DA" w:rsidRPr="005053C3">
        <w:rPr>
          <w:lang w:val="en-GB"/>
        </w:rPr>
        <w:t xml:space="preserve"> as a percentage of service price</w:t>
      </w:r>
      <w:r w:rsidR="2F69B1F1" w:rsidRPr="005053C3">
        <w:rPr>
          <w:lang w:val="en-GB"/>
        </w:rPr>
        <w:t>,</w:t>
      </w:r>
      <w:r w:rsidR="000C18CB" w:rsidRPr="005053C3">
        <w:rPr>
          <w:lang w:val="en-GB"/>
        </w:rPr>
        <w:t xml:space="preserve"> otherwise </w:t>
      </w:r>
      <w:r w:rsidR="3C98CC7C" w:rsidRPr="005053C3">
        <w:rPr>
          <w:lang w:val="en-GB"/>
        </w:rPr>
        <w:t xml:space="preserve">the </w:t>
      </w:r>
      <w:r w:rsidR="000C18CB" w:rsidRPr="005053C3">
        <w:rPr>
          <w:lang w:val="en-GB"/>
        </w:rPr>
        <w:t>co-payment for the same service varies by provider</w:t>
      </w:r>
      <w:r w:rsidR="00FF4306" w:rsidRPr="005053C3">
        <w:rPr>
          <w:lang w:val="en-GB"/>
        </w:rPr>
        <w:t>.</w:t>
      </w:r>
    </w:p>
    <w:p w14:paraId="19F27282" w14:textId="77777777" w:rsidR="00C401A3" w:rsidRPr="005053C3" w:rsidRDefault="00C401A3" w:rsidP="002E590D">
      <w:pPr>
        <w:spacing w:after="0" w:line="240" w:lineRule="auto"/>
        <w:jc w:val="both"/>
        <w:rPr>
          <w:lang w:val="en-GB"/>
        </w:rPr>
      </w:pPr>
    </w:p>
    <w:p w14:paraId="518F3455" w14:textId="4706667C" w:rsidR="00FC00C6" w:rsidRPr="005053C3" w:rsidRDefault="00D54144" w:rsidP="002E590D">
      <w:pPr>
        <w:spacing w:after="0" w:line="240" w:lineRule="auto"/>
        <w:jc w:val="both"/>
        <w:rPr>
          <w:lang w:val="en-GB"/>
        </w:rPr>
      </w:pPr>
      <w:r w:rsidRPr="00C401A3">
        <w:rPr>
          <w:b/>
          <w:bCs/>
          <w:lang w:val="en-GB"/>
        </w:rPr>
        <w:t>Table</w:t>
      </w:r>
      <w:r w:rsidR="00C401A3" w:rsidRPr="00C401A3">
        <w:rPr>
          <w:b/>
          <w:bCs/>
          <w:lang w:val="en-GB"/>
        </w:rPr>
        <w:t>7</w:t>
      </w:r>
      <w:r w:rsidRPr="00C401A3">
        <w:rPr>
          <w:b/>
          <w:bCs/>
          <w:lang w:val="en-GB"/>
        </w:rPr>
        <w:t>.</w:t>
      </w:r>
      <w:r w:rsidRPr="005053C3">
        <w:rPr>
          <w:lang w:val="en-GB"/>
        </w:rPr>
        <w:t xml:space="preserve"> Selected laboratory tests, price comparison</w:t>
      </w:r>
    </w:p>
    <w:tbl>
      <w:tblPr>
        <w:tblStyle w:val="GridTable5Dark-Accent5"/>
        <w:tblW w:w="6082" w:type="dxa"/>
        <w:tblLayout w:type="fixed"/>
        <w:tblLook w:val="06A0" w:firstRow="1" w:lastRow="0" w:firstColumn="1" w:lastColumn="0" w:noHBand="1" w:noVBand="1"/>
      </w:tblPr>
      <w:tblGrid>
        <w:gridCol w:w="3040"/>
        <w:gridCol w:w="1014"/>
        <w:gridCol w:w="1014"/>
        <w:gridCol w:w="1014"/>
      </w:tblGrid>
      <w:tr w:rsidR="00F5069E" w:rsidRPr="00F5069E" w14:paraId="4E39306F" w14:textId="77777777" w:rsidTr="00D85CBC">
        <w:trPr>
          <w:cnfStyle w:val="100000000000" w:firstRow="1" w:lastRow="0" w:firstColumn="0" w:lastColumn="0" w:oddVBand="0" w:evenVBand="0" w:oddHBand="0" w:evenHBand="0" w:firstRowFirstColumn="0" w:firstRowLastColumn="0" w:lastRowFirstColumn="0" w:lastRowLastColumn="0"/>
          <w:trHeight w:val="51"/>
        </w:trPr>
        <w:tc>
          <w:tcPr>
            <w:cnfStyle w:val="001000000000" w:firstRow="0" w:lastRow="0" w:firstColumn="1" w:lastColumn="0" w:oddVBand="0" w:evenVBand="0" w:oddHBand="0" w:evenHBand="0" w:firstRowFirstColumn="0" w:firstRowLastColumn="0" w:lastRowFirstColumn="0" w:lastRowLastColumn="0"/>
            <w:tcW w:w="3040" w:type="dxa"/>
          </w:tcPr>
          <w:p w14:paraId="4EB07F97" w14:textId="24AA57F0" w:rsidR="27D2215C" w:rsidRPr="00F5069E" w:rsidRDefault="00760490" w:rsidP="002E590D">
            <w:pPr>
              <w:rPr>
                <w:rFonts w:ascii="Calibri" w:eastAsia="Calibri" w:hAnsi="Calibri" w:cs="Calibri"/>
                <w:bCs w:val="0"/>
                <w:color w:val="auto"/>
                <w:sz w:val="20"/>
                <w:szCs w:val="20"/>
              </w:rPr>
            </w:pPr>
            <w:r w:rsidRPr="00F5069E">
              <w:rPr>
                <w:rFonts w:ascii="Calibri" w:eastAsia="Calibri" w:hAnsi="Calibri" w:cs="Calibri"/>
                <w:bCs w:val="0"/>
                <w:color w:val="auto"/>
                <w:sz w:val="20"/>
                <w:szCs w:val="20"/>
              </w:rPr>
              <w:t>Selected laboratory tests</w:t>
            </w:r>
          </w:p>
        </w:tc>
        <w:tc>
          <w:tcPr>
            <w:tcW w:w="1014" w:type="dxa"/>
          </w:tcPr>
          <w:p w14:paraId="5098030C" w14:textId="597B2119" w:rsidR="27D2215C" w:rsidRPr="00F5069E" w:rsidRDefault="27D2215C" w:rsidP="002E590D">
            <w:pPr>
              <w:jc w:val="center"/>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F5069E">
              <w:rPr>
                <w:rFonts w:ascii="Calibri" w:eastAsia="Calibri" w:hAnsi="Calibri" w:cs="Calibri"/>
                <w:bCs w:val="0"/>
                <w:color w:val="auto"/>
                <w:sz w:val="20"/>
                <w:szCs w:val="20"/>
              </w:rPr>
              <w:t>GEL</w:t>
            </w:r>
          </w:p>
        </w:tc>
        <w:tc>
          <w:tcPr>
            <w:tcW w:w="1014" w:type="dxa"/>
          </w:tcPr>
          <w:p w14:paraId="7EB9CC51" w14:textId="3E44C3BE" w:rsidR="27D2215C" w:rsidRPr="00F5069E" w:rsidRDefault="00DF2BB8" w:rsidP="002E590D">
            <w:pPr>
              <w:jc w:val="center"/>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F5069E">
              <w:rPr>
                <w:rFonts w:ascii="Calibri" w:eastAsia="Calibri" w:hAnsi="Calibri" w:cs="Calibri"/>
                <w:bCs w:val="0"/>
                <w:color w:val="auto"/>
                <w:sz w:val="20"/>
                <w:szCs w:val="20"/>
              </w:rPr>
              <w:t>EUR</w:t>
            </w:r>
          </w:p>
        </w:tc>
        <w:tc>
          <w:tcPr>
            <w:tcW w:w="1014" w:type="dxa"/>
          </w:tcPr>
          <w:p w14:paraId="29EA24C0" w14:textId="1665051E" w:rsidR="27D2215C" w:rsidRPr="00F5069E" w:rsidRDefault="27D2215C" w:rsidP="002E590D">
            <w:pPr>
              <w:jc w:val="center"/>
              <w:cnfStyle w:val="100000000000" w:firstRow="1" w:lastRow="0" w:firstColumn="0" w:lastColumn="0" w:oddVBand="0" w:evenVBand="0" w:oddHBand="0" w:evenHBand="0" w:firstRowFirstColumn="0" w:firstRowLastColumn="0" w:lastRowFirstColumn="0" w:lastRowLastColumn="0"/>
              <w:rPr>
                <w:bCs w:val="0"/>
                <w:color w:val="auto"/>
                <w:sz w:val="20"/>
                <w:szCs w:val="20"/>
              </w:rPr>
            </w:pPr>
            <w:r w:rsidRPr="00F5069E">
              <w:rPr>
                <w:rFonts w:ascii="Calibri" w:eastAsia="Calibri" w:hAnsi="Calibri" w:cs="Calibri"/>
                <w:bCs w:val="0"/>
                <w:color w:val="auto"/>
                <w:sz w:val="20"/>
                <w:szCs w:val="20"/>
              </w:rPr>
              <w:t>Estonia</w:t>
            </w:r>
            <w:r w:rsidR="00DE4BE7" w:rsidRPr="00F5069E">
              <w:rPr>
                <w:rFonts w:ascii="Calibri" w:eastAsia="Calibri" w:hAnsi="Calibri" w:cs="Calibri"/>
                <w:bCs w:val="0"/>
                <w:color w:val="auto"/>
                <w:sz w:val="20"/>
                <w:szCs w:val="20"/>
              </w:rPr>
              <w:t xml:space="preserve"> 2020</w:t>
            </w:r>
            <w:r w:rsidRPr="00F5069E">
              <w:rPr>
                <w:rFonts w:ascii="Calibri" w:eastAsia="Calibri" w:hAnsi="Calibri" w:cs="Calibri"/>
                <w:bCs w:val="0"/>
                <w:color w:val="auto"/>
                <w:sz w:val="20"/>
                <w:szCs w:val="20"/>
              </w:rPr>
              <w:t xml:space="preserve"> (</w:t>
            </w:r>
            <w:r w:rsidR="00DF2BB8" w:rsidRPr="00F5069E">
              <w:rPr>
                <w:rFonts w:ascii="Calibri" w:eastAsia="Calibri" w:hAnsi="Calibri" w:cs="Calibri"/>
                <w:bCs w:val="0"/>
                <w:color w:val="auto"/>
                <w:sz w:val="20"/>
                <w:szCs w:val="20"/>
              </w:rPr>
              <w:t>EUR</w:t>
            </w:r>
            <w:r w:rsidRPr="00F5069E">
              <w:rPr>
                <w:rFonts w:ascii="Calibri" w:eastAsia="Calibri" w:hAnsi="Calibri" w:cs="Calibri"/>
                <w:bCs w:val="0"/>
                <w:color w:val="auto"/>
                <w:sz w:val="20"/>
                <w:szCs w:val="20"/>
              </w:rPr>
              <w:t>)</w:t>
            </w:r>
          </w:p>
        </w:tc>
      </w:tr>
      <w:tr w:rsidR="00F5069E" w:rsidRPr="00F5069E" w14:paraId="6ABDA1C1" w14:textId="77777777" w:rsidTr="00D85CBC">
        <w:trPr>
          <w:trHeight w:val="346"/>
        </w:trPr>
        <w:tc>
          <w:tcPr>
            <w:cnfStyle w:val="001000000000" w:firstRow="0" w:lastRow="0" w:firstColumn="1" w:lastColumn="0" w:oddVBand="0" w:evenVBand="0" w:oddHBand="0" w:evenHBand="0" w:firstRowFirstColumn="0" w:firstRowLastColumn="0" w:lastRowFirstColumn="0" w:lastRowLastColumn="0"/>
            <w:tcW w:w="3040" w:type="dxa"/>
          </w:tcPr>
          <w:p w14:paraId="686E0EF4" w14:textId="3038BDC7" w:rsidR="27D2215C" w:rsidRPr="00F5069E" w:rsidRDefault="27D2215C" w:rsidP="002E590D">
            <w:pPr>
              <w:rPr>
                <w:b w:val="0"/>
                <w:bCs w:val="0"/>
                <w:color w:val="auto"/>
                <w:sz w:val="20"/>
                <w:szCs w:val="20"/>
              </w:rPr>
            </w:pPr>
            <w:r w:rsidRPr="00F5069E">
              <w:rPr>
                <w:rFonts w:ascii="Calibri" w:eastAsia="Calibri" w:hAnsi="Calibri" w:cs="Calibri"/>
                <w:b w:val="0"/>
                <w:bCs w:val="0"/>
                <w:color w:val="auto"/>
                <w:sz w:val="20"/>
                <w:szCs w:val="20"/>
              </w:rPr>
              <w:t>CBC (Complete Blood Count)</w:t>
            </w:r>
          </w:p>
        </w:tc>
        <w:tc>
          <w:tcPr>
            <w:tcW w:w="1014" w:type="dxa"/>
          </w:tcPr>
          <w:p w14:paraId="6C0D979B" w14:textId="41BB225E" w:rsidR="27D2215C" w:rsidRPr="00F5069E" w:rsidRDefault="27D2215C" w:rsidP="002E59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069E">
              <w:rPr>
                <w:rFonts w:ascii="Calibri" w:eastAsia="Calibri" w:hAnsi="Calibri" w:cs="Calibri"/>
                <w:sz w:val="20"/>
                <w:szCs w:val="20"/>
              </w:rPr>
              <w:t>7</w:t>
            </w:r>
          </w:p>
        </w:tc>
        <w:tc>
          <w:tcPr>
            <w:tcW w:w="1014" w:type="dxa"/>
          </w:tcPr>
          <w:p w14:paraId="0B76C616" w14:textId="4ABEF7E6" w:rsidR="27D2215C" w:rsidRPr="00F5069E" w:rsidRDefault="37C2D18B" w:rsidP="002E59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069E">
              <w:rPr>
                <w:rFonts w:ascii="Calibri" w:eastAsia="Calibri" w:hAnsi="Calibri" w:cs="Calibri"/>
                <w:sz w:val="20"/>
                <w:szCs w:val="20"/>
              </w:rPr>
              <w:t>1</w:t>
            </w:r>
            <w:r w:rsidR="4D367C8A" w:rsidRPr="00F5069E">
              <w:rPr>
                <w:rFonts w:ascii="Calibri" w:eastAsia="Calibri" w:hAnsi="Calibri" w:cs="Calibri"/>
                <w:sz w:val="20"/>
                <w:szCs w:val="20"/>
              </w:rPr>
              <w:t>.</w:t>
            </w:r>
            <w:r w:rsidRPr="00F5069E">
              <w:rPr>
                <w:rFonts w:ascii="Calibri" w:eastAsia="Calibri" w:hAnsi="Calibri" w:cs="Calibri"/>
                <w:sz w:val="20"/>
                <w:szCs w:val="20"/>
              </w:rPr>
              <w:t>96</w:t>
            </w:r>
          </w:p>
        </w:tc>
        <w:tc>
          <w:tcPr>
            <w:tcW w:w="1014" w:type="dxa"/>
          </w:tcPr>
          <w:p w14:paraId="46FF878F" w14:textId="1EB2E3EF" w:rsidR="27D2215C" w:rsidRPr="00F5069E" w:rsidRDefault="37C2D18B" w:rsidP="002E59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069E">
              <w:rPr>
                <w:rFonts w:ascii="Calibri" w:eastAsia="Calibri" w:hAnsi="Calibri" w:cs="Calibri"/>
                <w:sz w:val="20"/>
                <w:szCs w:val="20"/>
              </w:rPr>
              <w:t>3</w:t>
            </w:r>
            <w:r w:rsidR="46B9E554" w:rsidRPr="00F5069E">
              <w:rPr>
                <w:rFonts w:ascii="Calibri" w:eastAsia="Calibri" w:hAnsi="Calibri" w:cs="Calibri"/>
                <w:sz w:val="20"/>
                <w:szCs w:val="20"/>
              </w:rPr>
              <w:t>.</w:t>
            </w:r>
            <w:r w:rsidRPr="00F5069E">
              <w:rPr>
                <w:rFonts w:ascii="Calibri" w:eastAsia="Calibri" w:hAnsi="Calibri" w:cs="Calibri"/>
                <w:sz w:val="20"/>
                <w:szCs w:val="20"/>
              </w:rPr>
              <w:t>36</w:t>
            </w:r>
          </w:p>
        </w:tc>
      </w:tr>
      <w:tr w:rsidR="00F5069E" w:rsidRPr="00F5069E" w14:paraId="1D096573" w14:textId="77777777" w:rsidTr="00D85CBC">
        <w:trPr>
          <w:trHeight w:val="346"/>
        </w:trPr>
        <w:tc>
          <w:tcPr>
            <w:cnfStyle w:val="001000000000" w:firstRow="0" w:lastRow="0" w:firstColumn="1" w:lastColumn="0" w:oddVBand="0" w:evenVBand="0" w:oddHBand="0" w:evenHBand="0" w:firstRowFirstColumn="0" w:firstRowLastColumn="0" w:lastRowFirstColumn="0" w:lastRowLastColumn="0"/>
            <w:tcW w:w="3040" w:type="dxa"/>
          </w:tcPr>
          <w:p w14:paraId="09901F3A" w14:textId="701AE93B" w:rsidR="27D2215C" w:rsidRPr="00F5069E" w:rsidRDefault="27D2215C" w:rsidP="002E590D">
            <w:pPr>
              <w:rPr>
                <w:b w:val="0"/>
                <w:bCs w:val="0"/>
                <w:color w:val="auto"/>
                <w:sz w:val="20"/>
                <w:szCs w:val="20"/>
              </w:rPr>
            </w:pPr>
            <w:r w:rsidRPr="00F5069E">
              <w:rPr>
                <w:rFonts w:ascii="Calibri" w:eastAsia="Calibri" w:hAnsi="Calibri" w:cs="Calibri"/>
                <w:b w:val="0"/>
                <w:bCs w:val="0"/>
                <w:color w:val="auto"/>
                <w:sz w:val="20"/>
                <w:szCs w:val="20"/>
              </w:rPr>
              <w:t>Urine test</w:t>
            </w:r>
          </w:p>
        </w:tc>
        <w:tc>
          <w:tcPr>
            <w:tcW w:w="1014" w:type="dxa"/>
          </w:tcPr>
          <w:p w14:paraId="2CF852F8" w14:textId="77158FCB" w:rsidR="27D2215C" w:rsidRPr="00F5069E" w:rsidRDefault="27D2215C" w:rsidP="002E59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069E">
              <w:rPr>
                <w:rFonts w:ascii="Calibri" w:eastAsia="Calibri" w:hAnsi="Calibri" w:cs="Calibri"/>
                <w:sz w:val="20"/>
                <w:szCs w:val="20"/>
              </w:rPr>
              <w:t>5</w:t>
            </w:r>
          </w:p>
        </w:tc>
        <w:tc>
          <w:tcPr>
            <w:tcW w:w="1014" w:type="dxa"/>
          </w:tcPr>
          <w:p w14:paraId="05FFD427" w14:textId="02BA1CB2" w:rsidR="27D2215C" w:rsidRPr="00F5069E" w:rsidRDefault="37C2D18B" w:rsidP="002E59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069E">
              <w:rPr>
                <w:rFonts w:ascii="Calibri" w:eastAsia="Calibri" w:hAnsi="Calibri" w:cs="Calibri"/>
                <w:sz w:val="20"/>
                <w:szCs w:val="20"/>
              </w:rPr>
              <w:t>1</w:t>
            </w:r>
            <w:r w:rsidR="41B8EBB8" w:rsidRPr="00F5069E">
              <w:rPr>
                <w:rFonts w:ascii="Calibri" w:eastAsia="Calibri" w:hAnsi="Calibri" w:cs="Calibri"/>
                <w:sz w:val="20"/>
                <w:szCs w:val="20"/>
              </w:rPr>
              <w:t>.</w:t>
            </w:r>
            <w:r w:rsidRPr="00F5069E">
              <w:rPr>
                <w:rFonts w:ascii="Calibri" w:eastAsia="Calibri" w:hAnsi="Calibri" w:cs="Calibri"/>
                <w:sz w:val="20"/>
                <w:szCs w:val="20"/>
              </w:rPr>
              <w:t>4</w:t>
            </w:r>
          </w:p>
        </w:tc>
        <w:tc>
          <w:tcPr>
            <w:tcW w:w="1014" w:type="dxa"/>
          </w:tcPr>
          <w:p w14:paraId="56722DA3" w14:textId="6CD1C458" w:rsidR="27D2215C" w:rsidRPr="00F5069E" w:rsidRDefault="37C2D18B" w:rsidP="002E59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069E">
              <w:rPr>
                <w:rFonts w:ascii="Calibri" w:eastAsia="Calibri" w:hAnsi="Calibri" w:cs="Calibri"/>
                <w:sz w:val="20"/>
                <w:szCs w:val="20"/>
              </w:rPr>
              <w:t>2</w:t>
            </w:r>
            <w:r w:rsidR="43BFCD90" w:rsidRPr="00F5069E">
              <w:rPr>
                <w:rFonts w:ascii="Calibri" w:eastAsia="Calibri" w:hAnsi="Calibri" w:cs="Calibri"/>
                <w:sz w:val="20"/>
                <w:szCs w:val="20"/>
              </w:rPr>
              <w:t>.</w:t>
            </w:r>
            <w:r w:rsidRPr="00F5069E">
              <w:rPr>
                <w:rFonts w:ascii="Calibri" w:eastAsia="Calibri" w:hAnsi="Calibri" w:cs="Calibri"/>
                <w:sz w:val="20"/>
                <w:szCs w:val="20"/>
              </w:rPr>
              <w:t>37</w:t>
            </w:r>
          </w:p>
        </w:tc>
      </w:tr>
      <w:tr w:rsidR="00F5069E" w:rsidRPr="00F5069E" w14:paraId="727E470B" w14:textId="77777777" w:rsidTr="00D85CBC">
        <w:trPr>
          <w:trHeight w:val="346"/>
        </w:trPr>
        <w:tc>
          <w:tcPr>
            <w:cnfStyle w:val="001000000000" w:firstRow="0" w:lastRow="0" w:firstColumn="1" w:lastColumn="0" w:oddVBand="0" w:evenVBand="0" w:oddHBand="0" w:evenHBand="0" w:firstRowFirstColumn="0" w:firstRowLastColumn="0" w:lastRowFirstColumn="0" w:lastRowLastColumn="0"/>
            <w:tcW w:w="3040" w:type="dxa"/>
          </w:tcPr>
          <w:p w14:paraId="0BF822D1" w14:textId="0F0A6640" w:rsidR="27D2215C" w:rsidRPr="00F5069E" w:rsidRDefault="27D2215C" w:rsidP="002E590D">
            <w:pPr>
              <w:rPr>
                <w:b w:val="0"/>
                <w:bCs w:val="0"/>
                <w:color w:val="auto"/>
                <w:sz w:val="20"/>
                <w:szCs w:val="20"/>
              </w:rPr>
            </w:pPr>
            <w:r w:rsidRPr="00F5069E">
              <w:rPr>
                <w:rFonts w:ascii="Calibri" w:eastAsia="Calibri" w:hAnsi="Calibri" w:cs="Calibri"/>
                <w:b w:val="0"/>
                <w:bCs w:val="0"/>
                <w:color w:val="auto"/>
                <w:sz w:val="20"/>
                <w:szCs w:val="20"/>
              </w:rPr>
              <w:t xml:space="preserve">Glucose in peripheral blood </w:t>
            </w:r>
          </w:p>
        </w:tc>
        <w:tc>
          <w:tcPr>
            <w:tcW w:w="1014" w:type="dxa"/>
          </w:tcPr>
          <w:p w14:paraId="53E53144" w14:textId="6DCDA546" w:rsidR="27D2215C" w:rsidRPr="00F5069E" w:rsidRDefault="27D2215C" w:rsidP="002E59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069E">
              <w:rPr>
                <w:rFonts w:ascii="Calibri" w:eastAsia="Calibri" w:hAnsi="Calibri" w:cs="Calibri"/>
                <w:sz w:val="20"/>
                <w:szCs w:val="20"/>
              </w:rPr>
              <w:t>8</w:t>
            </w:r>
          </w:p>
        </w:tc>
        <w:tc>
          <w:tcPr>
            <w:tcW w:w="1014" w:type="dxa"/>
          </w:tcPr>
          <w:p w14:paraId="29752D04" w14:textId="1D6882FD" w:rsidR="27D2215C" w:rsidRPr="00F5069E" w:rsidRDefault="37C2D18B" w:rsidP="002E59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069E">
              <w:rPr>
                <w:rFonts w:ascii="Calibri" w:eastAsia="Calibri" w:hAnsi="Calibri" w:cs="Calibri"/>
                <w:sz w:val="20"/>
                <w:szCs w:val="20"/>
              </w:rPr>
              <w:t>2</w:t>
            </w:r>
            <w:r w:rsidR="1F5310F9" w:rsidRPr="00F5069E">
              <w:rPr>
                <w:rFonts w:ascii="Calibri" w:eastAsia="Calibri" w:hAnsi="Calibri" w:cs="Calibri"/>
                <w:sz w:val="20"/>
                <w:szCs w:val="20"/>
              </w:rPr>
              <w:t>.</w:t>
            </w:r>
            <w:r w:rsidRPr="00F5069E">
              <w:rPr>
                <w:rFonts w:ascii="Calibri" w:eastAsia="Calibri" w:hAnsi="Calibri" w:cs="Calibri"/>
                <w:sz w:val="20"/>
                <w:szCs w:val="20"/>
              </w:rPr>
              <w:t>24</w:t>
            </w:r>
          </w:p>
        </w:tc>
        <w:tc>
          <w:tcPr>
            <w:tcW w:w="1014" w:type="dxa"/>
          </w:tcPr>
          <w:p w14:paraId="032C788A" w14:textId="4D6ADA65" w:rsidR="27D2215C" w:rsidRPr="00F5069E" w:rsidRDefault="37C2D18B" w:rsidP="002E59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069E">
              <w:rPr>
                <w:rFonts w:ascii="Calibri" w:eastAsia="Calibri" w:hAnsi="Calibri" w:cs="Calibri"/>
                <w:sz w:val="20"/>
                <w:szCs w:val="20"/>
              </w:rPr>
              <w:t>1</w:t>
            </w:r>
            <w:r w:rsidR="4A186230" w:rsidRPr="00F5069E">
              <w:rPr>
                <w:rFonts w:ascii="Calibri" w:eastAsia="Calibri" w:hAnsi="Calibri" w:cs="Calibri"/>
                <w:sz w:val="20"/>
                <w:szCs w:val="20"/>
              </w:rPr>
              <w:t>.</w:t>
            </w:r>
            <w:r w:rsidRPr="00F5069E">
              <w:rPr>
                <w:rFonts w:ascii="Calibri" w:eastAsia="Calibri" w:hAnsi="Calibri" w:cs="Calibri"/>
                <w:sz w:val="20"/>
                <w:szCs w:val="20"/>
              </w:rPr>
              <w:t>81</w:t>
            </w:r>
          </w:p>
        </w:tc>
      </w:tr>
      <w:tr w:rsidR="00F5069E" w:rsidRPr="00F5069E" w14:paraId="73DD9439" w14:textId="77777777" w:rsidTr="00D85CBC">
        <w:trPr>
          <w:trHeight w:val="346"/>
        </w:trPr>
        <w:tc>
          <w:tcPr>
            <w:cnfStyle w:val="001000000000" w:firstRow="0" w:lastRow="0" w:firstColumn="1" w:lastColumn="0" w:oddVBand="0" w:evenVBand="0" w:oddHBand="0" w:evenHBand="0" w:firstRowFirstColumn="0" w:firstRowLastColumn="0" w:lastRowFirstColumn="0" w:lastRowLastColumn="0"/>
            <w:tcW w:w="3040" w:type="dxa"/>
          </w:tcPr>
          <w:p w14:paraId="048F4BB9" w14:textId="546E113B" w:rsidR="27D2215C" w:rsidRPr="00F5069E" w:rsidRDefault="27D2215C" w:rsidP="002E590D">
            <w:pPr>
              <w:rPr>
                <w:b w:val="0"/>
                <w:bCs w:val="0"/>
                <w:color w:val="auto"/>
                <w:sz w:val="20"/>
                <w:szCs w:val="20"/>
              </w:rPr>
            </w:pPr>
            <w:r w:rsidRPr="00F5069E">
              <w:rPr>
                <w:rFonts w:ascii="Calibri" w:eastAsia="Calibri" w:hAnsi="Calibri" w:cs="Calibri"/>
                <w:b w:val="0"/>
                <w:bCs w:val="0"/>
                <w:color w:val="auto"/>
                <w:sz w:val="20"/>
                <w:szCs w:val="20"/>
              </w:rPr>
              <w:t>Serum Creatinine</w:t>
            </w:r>
          </w:p>
        </w:tc>
        <w:tc>
          <w:tcPr>
            <w:tcW w:w="1014" w:type="dxa"/>
          </w:tcPr>
          <w:p w14:paraId="4DFAB5F3" w14:textId="02B810DD" w:rsidR="27D2215C" w:rsidRPr="00F5069E" w:rsidRDefault="27D2215C" w:rsidP="002E59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069E">
              <w:rPr>
                <w:rFonts w:ascii="Calibri" w:eastAsia="Calibri" w:hAnsi="Calibri" w:cs="Calibri"/>
                <w:sz w:val="20"/>
                <w:szCs w:val="20"/>
              </w:rPr>
              <w:t>7</w:t>
            </w:r>
          </w:p>
        </w:tc>
        <w:tc>
          <w:tcPr>
            <w:tcW w:w="1014" w:type="dxa"/>
          </w:tcPr>
          <w:p w14:paraId="20D94443" w14:textId="756F3980" w:rsidR="27D2215C" w:rsidRPr="00F5069E" w:rsidRDefault="37C2D18B" w:rsidP="002E59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069E">
              <w:rPr>
                <w:rFonts w:ascii="Calibri" w:eastAsia="Calibri" w:hAnsi="Calibri" w:cs="Calibri"/>
                <w:sz w:val="20"/>
                <w:szCs w:val="20"/>
              </w:rPr>
              <w:t>1</w:t>
            </w:r>
            <w:r w:rsidR="7EAAB3A1" w:rsidRPr="00F5069E">
              <w:rPr>
                <w:rFonts w:ascii="Calibri" w:eastAsia="Calibri" w:hAnsi="Calibri" w:cs="Calibri"/>
                <w:sz w:val="20"/>
                <w:szCs w:val="20"/>
              </w:rPr>
              <w:t>.</w:t>
            </w:r>
            <w:r w:rsidRPr="00F5069E">
              <w:rPr>
                <w:rFonts w:ascii="Calibri" w:eastAsia="Calibri" w:hAnsi="Calibri" w:cs="Calibri"/>
                <w:sz w:val="20"/>
                <w:szCs w:val="20"/>
              </w:rPr>
              <w:t>96</w:t>
            </w:r>
          </w:p>
        </w:tc>
        <w:tc>
          <w:tcPr>
            <w:tcW w:w="1014" w:type="dxa"/>
          </w:tcPr>
          <w:p w14:paraId="76C9C0C8" w14:textId="768049F4" w:rsidR="27D2215C" w:rsidRPr="00F5069E" w:rsidRDefault="37C2D18B" w:rsidP="002E59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069E">
              <w:rPr>
                <w:rFonts w:ascii="Calibri" w:eastAsia="Calibri" w:hAnsi="Calibri" w:cs="Calibri"/>
                <w:sz w:val="20"/>
                <w:szCs w:val="20"/>
              </w:rPr>
              <w:t>1</w:t>
            </w:r>
            <w:r w:rsidR="2B3CFDEE" w:rsidRPr="00F5069E">
              <w:rPr>
                <w:rFonts w:ascii="Calibri" w:eastAsia="Calibri" w:hAnsi="Calibri" w:cs="Calibri"/>
                <w:sz w:val="20"/>
                <w:szCs w:val="20"/>
              </w:rPr>
              <w:t>.</w:t>
            </w:r>
            <w:r w:rsidRPr="00F5069E">
              <w:rPr>
                <w:rFonts w:ascii="Calibri" w:eastAsia="Calibri" w:hAnsi="Calibri" w:cs="Calibri"/>
                <w:sz w:val="20"/>
                <w:szCs w:val="20"/>
              </w:rPr>
              <w:t>78</w:t>
            </w:r>
          </w:p>
        </w:tc>
      </w:tr>
      <w:tr w:rsidR="00F5069E" w:rsidRPr="00F5069E" w14:paraId="0766470E" w14:textId="77777777" w:rsidTr="00D85CBC">
        <w:trPr>
          <w:trHeight w:val="346"/>
        </w:trPr>
        <w:tc>
          <w:tcPr>
            <w:cnfStyle w:val="001000000000" w:firstRow="0" w:lastRow="0" w:firstColumn="1" w:lastColumn="0" w:oddVBand="0" w:evenVBand="0" w:oddHBand="0" w:evenHBand="0" w:firstRowFirstColumn="0" w:firstRowLastColumn="0" w:lastRowFirstColumn="0" w:lastRowLastColumn="0"/>
            <w:tcW w:w="3040" w:type="dxa"/>
          </w:tcPr>
          <w:p w14:paraId="2B56093B" w14:textId="1D015655" w:rsidR="27D2215C" w:rsidRPr="00F5069E" w:rsidRDefault="27D2215C" w:rsidP="002E590D">
            <w:pPr>
              <w:rPr>
                <w:b w:val="0"/>
                <w:bCs w:val="0"/>
                <w:color w:val="auto"/>
                <w:sz w:val="20"/>
                <w:szCs w:val="20"/>
              </w:rPr>
            </w:pPr>
            <w:r w:rsidRPr="00F5069E">
              <w:rPr>
                <w:rFonts w:ascii="Calibri" w:eastAsia="Calibri" w:hAnsi="Calibri" w:cs="Calibri"/>
                <w:b w:val="0"/>
                <w:bCs w:val="0"/>
                <w:color w:val="auto"/>
                <w:sz w:val="20"/>
                <w:szCs w:val="20"/>
              </w:rPr>
              <w:t xml:space="preserve">Cholesterol in blood </w:t>
            </w:r>
          </w:p>
        </w:tc>
        <w:tc>
          <w:tcPr>
            <w:tcW w:w="1014" w:type="dxa"/>
          </w:tcPr>
          <w:p w14:paraId="70F994D2" w14:textId="10D43E7D" w:rsidR="27D2215C" w:rsidRPr="00F5069E" w:rsidRDefault="27D2215C" w:rsidP="002E59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069E">
              <w:rPr>
                <w:rFonts w:ascii="Calibri" w:eastAsia="Calibri" w:hAnsi="Calibri" w:cs="Calibri"/>
                <w:sz w:val="20"/>
                <w:szCs w:val="20"/>
              </w:rPr>
              <w:t>6</w:t>
            </w:r>
          </w:p>
        </w:tc>
        <w:tc>
          <w:tcPr>
            <w:tcW w:w="1014" w:type="dxa"/>
          </w:tcPr>
          <w:p w14:paraId="717B05E9" w14:textId="24CE6A94" w:rsidR="27D2215C" w:rsidRPr="00F5069E" w:rsidRDefault="37C2D18B" w:rsidP="002E59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069E">
              <w:rPr>
                <w:rFonts w:ascii="Calibri" w:eastAsia="Calibri" w:hAnsi="Calibri" w:cs="Calibri"/>
                <w:sz w:val="20"/>
                <w:szCs w:val="20"/>
              </w:rPr>
              <w:t>1</w:t>
            </w:r>
            <w:r w:rsidR="090210A8" w:rsidRPr="00F5069E">
              <w:rPr>
                <w:rFonts w:ascii="Calibri" w:eastAsia="Calibri" w:hAnsi="Calibri" w:cs="Calibri"/>
                <w:sz w:val="20"/>
                <w:szCs w:val="20"/>
              </w:rPr>
              <w:t>.</w:t>
            </w:r>
            <w:r w:rsidRPr="00F5069E">
              <w:rPr>
                <w:rFonts w:ascii="Calibri" w:eastAsia="Calibri" w:hAnsi="Calibri" w:cs="Calibri"/>
                <w:sz w:val="20"/>
                <w:szCs w:val="20"/>
              </w:rPr>
              <w:t>68</w:t>
            </w:r>
          </w:p>
        </w:tc>
        <w:tc>
          <w:tcPr>
            <w:tcW w:w="1014" w:type="dxa"/>
          </w:tcPr>
          <w:p w14:paraId="7B0C658A" w14:textId="038D279E" w:rsidR="27D2215C" w:rsidRPr="00F5069E" w:rsidRDefault="37C2D18B" w:rsidP="002E59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069E">
              <w:rPr>
                <w:rFonts w:ascii="Calibri" w:eastAsia="Calibri" w:hAnsi="Calibri" w:cs="Calibri"/>
                <w:sz w:val="20"/>
                <w:szCs w:val="20"/>
              </w:rPr>
              <w:t>1</w:t>
            </w:r>
            <w:r w:rsidR="350FBC5C" w:rsidRPr="00F5069E">
              <w:rPr>
                <w:rFonts w:ascii="Calibri" w:eastAsia="Calibri" w:hAnsi="Calibri" w:cs="Calibri"/>
                <w:sz w:val="20"/>
                <w:szCs w:val="20"/>
              </w:rPr>
              <w:t>.</w:t>
            </w:r>
            <w:r w:rsidRPr="00F5069E">
              <w:rPr>
                <w:rFonts w:ascii="Calibri" w:eastAsia="Calibri" w:hAnsi="Calibri" w:cs="Calibri"/>
                <w:sz w:val="20"/>
                <w:szCs w:val="20"/>
              </w:rPr>
              <w:t>82</w:t>
            </w:r>
          </w:p>
        </w:tc>
      </w:tr>
      <w:tr w:rsidR="00F5069E" w:rsidRPr="00F5069E" w14:paraId="2436AEA1" w14:textId="77777777" w:rsidTr="00D85CBC">
        <w:trPr>
          <w:trHeight w:val="346"/>
        </w:trPr>
        <w:tc>
          <w:tcPr>
            <w:cnfStyle w:val="001000000000" w:firstRow="0" w:lastRow="0" w:firstColumn="1" w:lastColumn="0" w:oddVBand="0" w:evenVBand="0" w:oddHBand="0" w:evenHBand="0" w:firstRowFirstColumn="0" w:firstRowLastColumn="0" w:lastRowFirstColumn="0" w:lastRowLastColumn="0"/>
            <w:tcW w:w="3040" w:type="dxa"/>
          </w:tcPr>
          <w:p w14:paraId="3B4E5BF5" w14:textId="4BFBA8BF" w:rsidR="27D2215C" w:rsidRPr="00F5069E" w:rsidRDefault="27D2215C" w:rsidP="002E590D">
            <w:pPr>
              <w:rPr>
                <w:b w:val="0"/>
                <w:bCs w:val="0"/>
                <w:color w:val="auto"/>
                <w:sz w:val="20"/>
                <w:szCs w:val="20"/>
              </w:rPr>
            </w:pPr>
            <w:r w:rsidRPr="00F5069E">
              <w:rPr>
                <w:rFonts w:ascii="Calibri" w:eastAsia="Calibri" w:hAnsi="Calibri" w:cs="Calibri"/>
                <w:b w:val="0"/>
                <w:bCs w:val="0"/>
                <w:color w:val="auto"/>
                <w:sz w:val="20"/>
                <w:szCs w:val="20"/>
              </w:rPr>
              <w:t>Lipid Profile</w:t>
            </w:r>
          </w:p>
        </w:tc>
        <w:tc>
          <w:tcPr>
            <w:tcW w:w="1014" w:type="dxa"/>
          </w:tcPr>
          <w:p w14:paraId="3602ED3A" w14:textId="402F37A6" w:rsidR="27D2215C" w:rsidRPr="00F5069E" w:rsidRDefault="27D2215C" w:rsidP="002E59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069E">
              <w:rPr>
                <w:rFonts w:ascii="Calibri" w:eastAsia="Calibri" w:hAnsi="Calibri" w:cs="Calibri"/>
                <w:sz w:val="20"/>
                <w:szCs w:val="20"/>
              </w:rPr>
              <w:t>13</w:t>
            </w:r>
          </w:p>
        </w:tc>
        <w:tc>
          <w:tcPr>
            <w:tcW w:w="1014" w:type="dxa"/>
          </w:tcPr>
          <w:p w14:paraId="45C26CC2" w14:textId="78F0E909" w:rsidR="27D2215C" w:rsidRPr="00F5069E" w:rsidRDefault="37C2D18B" w:rsidP="002E59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069E">
              <w:rPr>
                <w:rFonts w:ascii="Calibri" w:eastAsia="Calibri" w:hAnsi="Calibri" w:cs="Calibri"/>
                <w:sz w:val="20"/>
                <w:szCs w:val="20"/>
              </w:rPr>
              <w:t>3</w:t>
            </w:r>
            <w:r w:rsidR="0F6D2B1D" w:rsidRPr="00F5069E">
              <w:rPr>
                <w:rFonts w:ascii="Calibri" w:eastAsia="Calibri" w:hAnsi="Calibri" w:cs="Calibri"/>
                <w:sz w:val="20"/>
                <w:szCs w:val="20"/>
              </w:rPr>
              <w:t>.</w:t>
            </w:r>
            <w:r w:rsidRPr="00F5069E">
              <w:rPr>
                <w:rFonts w:ascii="Calibri" w:eastAsia="Calibri" w:hAnsi="Calibri" w:cs="Calibri"/>
                <w:sz w:val="20"/>
                <w:szCs w:val="20"/>
              </w:rPr>
              <w:t>64</w:t>
            </w:r>
          </w:p>
        </w:tc>
        <w:tc>
          <w:tcPr>
            <w:tcW w:w="1014" w:type="dxa"/>
          </w:tcPr>
          <w:p w14:paraId="2D928D4C" w14:textId="742A9900" w:rsidR="27D2215C" w:rsidRPr="00F5069E" w:rsidRDefault="37C2D18B" w:rsidP="002E590D">
            <w:pPr>
              <w:jc w:val="center"/>
              <w:cnfStyle w:val="000000000000" w:firstRow="0" w:lastRow="0" w:firstColumn="0" w:lastColumn="0" w:oddVBand="0" w:evenVBand="0" w:oddHBand="0" w:evenHBand="0" w:firstRowFirstColumn="0" w:firstRowLastColumn="0" w:lastRowFirstColumn="0" w:lastRowLastColumn="0"/>
              <w:rPr>
                <w:sz w:val="20"/>
                <w:szCs w:val="20"/>
              </w:rPr>
            </w:pPr>
            <w:r w:rsidRPr="00F5069E">
              <w:rPr>
                <w:rFonts w:ascii="Calibri" w:eastAsia="Calibri" w:hAnsi="Calibri" w:cs="Calibri"/>
                <w:sz w:val="20"/>
                <w:szCs w:val="20"/>
              </w:rPr>
              <w:t>3</w:t>
            </w:r>
            <w:r w:rsidR="2A17D406" w:rsidRPr="00F5069E">
              <w:rPr>
                <w:rFonts w:ascii="Calibri" w:eastAsia="Calibri" w:hAnsi="Calibri" w:cs="Calibri"/>
                <w:sz w:val="20"/>
                <w:szCs w:val="20"/>
              </w:rPr>
              <w:t>.</w:t>
            </w:r>
            <w:r w:rsidRPr="00F5069E">
              <w:rPr>
                <w:rFonts w:ascii="Calibri" w:eastAsia="Calibri" w:hAnsi="Calibri" w:cs="Calibri"/>
                <w:sz w:val="20"/>
                <w:szCs w:val="20"/>
              </w:rPr>
              <w:t>79</w:t>
            </w:r>
          </w:p>
        </w:tc>
      </w:tr>
    </w:tbl>
    <w:p w14:paraId="52426CB9" w14:textId="6B19B23A" w:rsidR="00FC00C6" w:rsidRPr="005053C3" w:rsidRDefault="00FC00C6" w:rsidP="002E590D">
      <w:pPr>
        <w:spacing w:after="0" w:line="240" w:lineRule="auto"/>
        <w:jc w:val="both"/>
        <w:rPr>
          <w:lang w:val="en-GB"/>
        </w:rPr>
      </w:pPr>
    </w:p>
    <w:p w14:paraId="49ADCEEE" w14:textId="0206EA60" w:rsidR="00FC00C6" w:rsidRDefault="5B117BF6" w:rsidP="002E590D">
      <w:pPr>
        <w:spacing w:after="0" w:line="240" w:lineRule="auto"/>
        <w:jc w:val="both"/>
        <w:rPr>
          <w:rFonts w:eastAsiaTheme="minorEastAsia"/>
          <w:color w:val="333333"/>
          <w:lang w:val="en-GB"/>
        </w:rPr>
      </w:pPr>
      <w:r w:rsidRPr="005053C3">
        <w:rPr>
          <w:rFonts w:eastAsiaTheme="minorEastAsia"/>
          <w:color w:val="333333"/>
          <w:lang w:val="en-GB"/>
        </w:rPr>
        <w:t xml:space="preserve">The </w:t>
      </w:r>
      <w:r w:rsidR="1514A225" w:rsidRPr="005053C3">
        <w:rPr>
          <w:rFonts w:eastAsiaTheme="minorEastAsia"/>
          <w:color w:val="333333"/>
          <w:lang w:val="en-GB"/>
        </w:rPr>
        <w:t xml:space="preserve">goal </w:t>
      </w:r>
      <w:r w:rsidRPr="005053C3">
        <w:rPr>
          <w:rFonts w:eastAsiaTheme="minorEastAsia"/>
          <w:color w:val="333333"/>
          <w:lang w:val="en-GB"/>
        </w:rPr>
        <w:t>is to cover the expected cost for essential laboratory test</w:t>
      </w:r>
      <w:r w:rsidR="769528CC" w:rsidRPr="005053C3">
        <w:rPr>
          <w:rFonts w:eastAsiaTheme="minorEastAsia"/>
          <w:color w:val="333333"/>
          <w:lang w:val="en-GB"/>
        </w:rPr>
        <w:t>s</w:t>
      </w:r>
      <w:r w:rsidRPr="005053C3">
        <w:rPr>
          <w:rFonts w:eastAsiaTheme="minorEastAsia"/>
          <w:color w:val="333333"/>
          <w:lang w:val="en-GB"/>
        </w:rPr>
        <w:t xml:space="preserve"> for </w:t>
      </w:r>
      <w:r w:rsidR="40986B9C" w:rsidRPr="005053C3">
        <w:rPr>
          <w:rFonts w:eastAsiaTheme="minorEastAsia"/>
          <w:color w:val="333333"/>
          <w:lang w:val="en-GB"/>
        </w:rPr>
        <w:t xml:space="preserve">the </w:t>
      </w:r>
      <w:r w:rsidRPr="005053C3">
        <w:rPr>
          <w:rFonts w:eastAsiaTheme="minorEastAsia"/>
          <w:color w:val="333333"/>
          <w:lang w:val="en-GB"/>
        </w:rPr>
        <w:t xml:space="preserve">general </w:t>
      </w:r>
      <w:r w:rsidR="7157AEEB" w:rsidRPr="005053C3">
        <w:rPr>
          <w:rFonts w:eastAsiaTheme="minorEastAsia"/>
          <w:color w:val="333333"/>
          <w:lang w:val="en-GB"/>
        </w:rPr>
        <w:t>population</w:t>
      </w:r>
      <w:r w:rsidRPr="005053C3">
        <w:rPr>
          <w:rFonts w:eastAsiaTheme="minorEastAsia"/>
          <w:color w:val="333333"/>
          <w:lang w:val="en-GB"/>
        </w:rPr>
        <w:t>.</w:t>
      </w:r>
      <w:r w:rsidR="2A261B66" w:rsidRPr="005053C3">
        <w:rPr>
          <w:rFonts w:eastAsiaTheme="minorEastAsia"/>
          <w:color w:val="333333"/>
          <w:lang w:val="en-GB"/>
        </w:rPr>
        <w:t xml:space="preserve"> </w:t>
      </w:r>
      <w:r w:rsidR="022D64FF" w:rsidRPr="005053C3">
        <w:rPr>
          <w:rFonts w:eastAsiaTheme="minorEastAsia"/>
          <w:color w:val="333333"/>
          <w:lang w:val="en-GB"/>
        </w:rPr>
        <w:t xml:space="preserve">Most </w:t>
      </w:r>
      <w:r w:rsidR="0DD48E2E" w:rsidRPr="005053C3">
        <w:rPr>
          <w:rFonts w:eastAsiaTheme="minorEastAsia"/>
          <w:color w:val="333333"/>
          <w:lang w:val="en-GB"/>
        </w:rPr>
        <w:t>of these test</w:t>
      </w:r>
      <w:r w:rsidR="6F6CB096" w:rsidRPr="005053C3">
        <w:rPr>
          <w:rFonts w:eastAsiaTheme="minorEastAsia"/>
          <w:color w:val="333333"/>
          <w:lang w:val="en-GB"/>
        </w:rPr>
        <w:t>s</w:t>
      </w:r>
      <w:r w:rsidR="0DD48E2E" w:rsidRPr="005053C3">
        <w:rPr>
          <w:rFonts w:eastAsiaTheme="minorEastAsia"/>
          <w:color w:val="333333"/>
          <w:lang w:val="en-GB"/>
        </w:rPr>
        <w:t xml:space="preserve"> are currently </w:t>
      </w:r>
      <w:r w:rsidR="4CB40F79" w:rsidRPr="005053C3">
        <w:rPr>
          <w:rFonts w:eastAsiaTheme="minorEastAsia"/>
          <w:color w:val="333333"/>
          <w:lang w:val="en-GB"/>
        </w:rPr>
        <w:t>available</w:t>
      </w:r>
      <w:r w:rsidR="0DD48E2E" w:rsidRPr="005053C3">
        <w:rPr>
          <w:rFonts w:eastAsiaTheme="minorEastAsia"/>
          <w:color w:val="333333"/>
          <w:lang w:val="en-GB"/>
        </w:rPr>
        <w:t xml:space="preserve"> through </w:t>
      </w:r>
      <w:r w:rsidR="7B7D234F" w:rsidRPr="005053C3">
        <w:rPr>
          <w:rFonts w:eastAsiaTheme="minorEastAsia"/>
          <w:color w:val="333333"/>
          <w:lang w:val="en-GB"/>
        </w:rPr>
        <w:t xml:space="preserve">the </w:t>
      </w:r>
      <w:r w:rsidR="00611AE6" w:rsidRPr="005053C3">
        <w:rPr>
          <w:rFonts w:eastAsiaTheme="minorEastAsia"/>
          <w:color w:val="333333"/>
          <w:lang w:val="en-GB"/>
        </w:rPr>
        <w:t xml:space="preserve">UHC </w:t>
      </w:r>
      <w:r w:rsidR="0DD48E2E" w:rsidRPr="005053C3">
        <w:rPr>
          <w:rFonts w:eastAsiaTheme="minorEastAsia"/>
          <w:color w:val="333333"/>
          <w:lang w:val="en-GB"/>
        </w:rPr>
        <w:t xml:space="preserve">program, but </w:t>
      </w:r>
      <w:r w:rsidR="718C9A1E" w:rsidRPr="005053C3">
        <w:rPr>
          <w:rFonts w:eastAsiaTheme="minorEastAsia"/>
          <w:color w:val="333333"/>
          <w:lang w:val="en-GB"/>
        </w:rPr>
        <w:t xml:space="preserve">others </w:t>
      </w:r>
      <w:r w:rsidR="0DD48E2E" w:rsidRPr="005053C3">
        <w:rPr>
          <w:rFonts w:eastAsiaTheme="minorEastAsia"/>
          <w:color w:val="333333"/>
          <w:lang w:val="en-GB"/>
        </w:rPr>
        <w:t>(</w:t>
      </w:r>
      <w:r w:rsidR="35F17B79" w:rsidRPr="005053C3">
        <w:rPr>
          <w:rFonts w:eastAsiaTheme="minorEastAsia"/>
          <w:color w:val="333333"/>
          <w:lang w:val="en-GB"/>
        </w:rPr>
        <w:t xml:space="preserve">e.g., </w:t>
      </w:r>
      <w:r w:rsidR="0DD48E2E" w:rsidRPr="005053C3">
        <w:rPr>
          <w:rFonts w:eastAsiaTheme="minorEastAsia"/>
          <w:color w:val="333333"/>
          <w:lang w:val="en-GB"/>
        </w:rPr>
        <w:t xml:space="preserve">HbA1c, albumin, HOMA2) </w:t>
      </w:r>
      <w:r w:rsidR="73965E50" w:rsidRPr="005053C3">
        <w:rPr>
          <w:rFonts w:eastAsiaTheme="minorEastAsia"/>
          <w:color w:val="333333"/>
          <w:lang w:val="en-GB"/>
        </w:rPr>
        <w:t xml:space="preserve">have been </w:t>
      </w:r>
      <w:r w:rsidR="713F1301" w:rsidRPr="005053C3">
        <w:rPr>
          <w:rFonts w:eastAsiaTheme="minorEastAsia"/>
          <w:color w:val="333333"/>
          <w:lang w:val="en-GB"/>
        </w:rPr>
        <w:t xml:space="preserve">added to ensure </w:t>
      </w:r>
      <w:r w:rsidR="26E3FBA5" w:rsidRPr="005053C3">
        <w:rPr>
          <w:rFonts w:eastAsiaTheme="minorEastAsia"/>
          <w:color w:val="333333"/>
          <w:lang w:val="en-GB"/>
        </w:rPr>
        <w:t xml:space="preserve">accessibility for patients </w:t>
      </w:r>
      <w:r w:rsidR="183D56E4" w:rsidRPr="005053C3">
        <w:rPr>
          <w:rFonts w:eastAsiaTheme="minorEastAsia"/>
          <w:color w:val="333333"/>
          <w:lang w:val="en-GB"/>
        </w:rPr>
        <w:t xml:space="preserve">with </w:t>
      </w:r>
      <w:r w:rsidR="26E3FBA5" w:rsidRPr="005053C3">
        <w:rPr>
          <w:rFonts w:eastAsiaTheme="minorEastAsia"/>
          <w:color w:val="333333"/>
          <w:lang w:val="en-GB"/>
        </w:rPr>
        <w:t>chronic conditions. The laboratory test</w:t>
      </w:r>
      <w:r w:rsidR="4F30907D" w:rsidRPr="005053C3">
        <w:rPr>
          <w:rFonts w:eastAsiaTheme="minorEastAsia"/>
          <w:color w:val="333333"/>
          <w:lang w:val="en-GB"/>
        </w:rPr>
        <w:t>s</w:t>
      </w:r>
      <w:r w:rsidR="26E3FBA5" w:rsidRPr="005053C3">
        <w:rPr>
          <w:rFonts w:eastAsiaTheme="minorEastAsia"/>
          <w:color w:val="333333"/>
          <w:lang w:val="en-GB"/>
        </w:rPr>
        <w:t xml:space="preserve"> listed may not be </w:t>
      </w:r>
      <w:r w:rsidR="2131A15F" w:rsidRPr="005053C3">
        <w:rPr>
          <w:rFonts w:eastAsiaTheme="minorEastAsia"/>
          <w:color w:val="333333"/>
          <w:lang w:val="en-GB"/>
        </w:rPr>
        <w:t>available</w:t>
      </w:r>
      <w:r w:rsidR="00FF4306" w:rsidRPr="005053C3">
        <w:rPr>
          <w:rFonts w:eastAsiaTheme="minorEastAsia"/>
          <w:color w:val="333333"/>
          <w:lang w:val="en-GB"/>
        </w:rPr>
        <w:t xml:space="preserve"> on-site</w:t>
      </w:r>
      <w:r w:rsidR="26E3FBA5" w:rsidRPr="005053C3">
        <w:rPr>
          <w:rFonts w:eastAsiaTheme="minorEastAsia"/>
          <w:color w:val="333333"/>
          <w:lang w:val="en-GB"/>
        </w:rPr>
        <w:t xml:space="preserve"> in </w:t>
      </w:r>
      <w:r w:rsidR="7A35D3B0" w:rsidRPr="005053C3">
        <w:rPr>
          <w:rFonts w:eastAsiaTheme="minorEastAsia"/>
          <w:color w:val="333333"/>
          <w:lang w:val="en-GB"/>
        </w:rPr>
        <w:t xml:space="preserve">all </w:t>
      </w:r>
      <w:r w:rsidR="26E3FBA5" w:rsidRPr="005053C3">
        <w:rPr>
          <w:rFonts w:eastAsiaTheme="minorEastAsia"/>
          <w:color w:val="333333"/>
          <w:lang w:val="en-GB"/>
        </w:rPr>
        <w:t xml:space="preserve">rural settings, </w:t>
      </w:r>
      <w:r w:rsidR="4A550272" w:rsidRPr="005053C3">
        <w:rPr>
          <w:rFonts w:eastAsiaTheme="minorEastAsia"/>
          <w:color w:val="333333"/>
          <w:lang w:val="en-GB"/>
        </w:rPr>
        <w:t>meaning</w:t>
      </w:r>
      <w:r w:rsidR="26E3FBA5" w:rsidRPr="005053C3">
        <w:rPr>
          <w:rFonts w:eastAsiaTheme="minorEastAsia"/>
          <w:color w:val="333333"/>
          <w:lang w:val="en-GB"/>
        </w:rPr>
        <w:t xml:space="preserve"> </w:t>
      </w:r>
      <w:r w:rsidR="4462C5BB" w:rsidRPr="005053C3">
        <w:rPr>
          <w:rFonts w:eastAsiaTheme="minorEastAsia"/>
          <w:color w:val="333333"/>
          <w:lang w:val="en-GB"/>
        </w:rPr>
        <w:t>transportation and</w:t>
      </w:r>
      <w:r w:rsidR="0A2FBF97" w:rsidRPr="005053C3">
        <w:rPr>
          <w:rFonts w:eastAsiaTheme="minorEastAsia"/>
          <w:color w:val="333333"/>
          <w:lang w:val="en-GB"/>
        </w:rPr>
        <w:t xml:space="preserve"> an efficient</w:t>
      </w:r>
      <w:r w:rsidR="1F77A819" w:rsidRPr="005053C3">
        <w:rPr>
          <w:rFonts w:eastAsiaTheme="minorEastAsia"/>
          <w:color w:val="333333"/>
          <w:lang w:val="en-GB"/>
        </w:rPr>
        <w:t xml:space="preserve"> </w:t>
      </w:r>
      <w:r w:rsidR="4462C5BB" w:rsidRPr="005053C3">
        <w:rPr>
          <w:rFonts w:eastAsiaTheme="minorEastAsia"/>
          <w:color w:val="333333"/>
          <w:lang w:val="en-GB"/>
        </w:rPr>
        <w:t xml:space="preserve">referral system to </w:t>
      </w:r>
      <w:r w:rsidR="41F98F55" w:rsidRPr="005053C3">
        <w:rPr>
          <w:rFonts w:eastAsiaTheme="minorEastAsia"/>
          <w:color w:val="333333"/>
          <w:lang w:val="en-GB"/>
        </w:rPr>
        <w:t>a nearby</w:t>
      </w:r>
      <w:r w:rsidR="4462C5BB" w:rsidRPr="005053C3">
        <w:rPr>
          <w:rFonts w:eastAsiaTheme="minorEastAsia"/>
          <w:color w:val="333333"/>
          <w:lang w:val="en-GB"/>
        </w:rPr>
        <w:t xml:space="preserve"> laboratory </w:t>
      </w:r>
      <w:r w:rsidR="13408401" w:rsidRPr="005053C3">
        <w:rPr>
          <w:rFonts w:eastAsiaTheme="minorEastAsia"/>
          <w:color w:val="333333"/>
          <w:lang w:val="en-GB"/>
        </w:rPr>
        <w:t>should also be implemented</w:t>
      </w:r>
      <w:r w:rsidR="733FF73A" w:rsidRPr="005053C3">
        <w:rPr>
          <w:rFonts w:eastAsiaTheme="minorEastAsia"/>
          <w:color w:val="333333"/>
          <w:lang w:val="en-GB"/>
        </w:rPr>
        <w:t>.</w:t>
      </w:r>
      <w:r w:rsidR="00CE4348">
        <w:rPr>
          <w:rFonts w:eastAsiaTheme="minorEastAsia"/>
          <w:color w:val="333333"/>
          <w:lang w:val="en-GB"/>
        </w:rPr>
        <w:t xml:space="preserve"> If this is not possible, it should be considered to </w:t>
      </w:r>
      <w:r w:rsidR="002F28AB">
        <w:rPr>
          <w:rFonts w:eastAsiaTheme="minorEastAsia"/>
          <w:color w:val="333333"/>
          <w:lang w:val="en-GB"/>
        </w:rPr>
        <w:t>continue</w:t>
      </w:r>
      <w:r w:rsidR="00710FF3">
        <w:rPr>
          <w:rFonts w:eastAsiaTheme="minorEastAsia"/>
          <w:color w:val="333333"/>
          <w:lang w:val="en-GB"/>
        </w:rPr>
        <w:t xml:space="preserve"> a similar system </w:t>
      </w:r>
      <w:r w:rsidR="00D53F8A">
        <w:rPr>
          <w:rFonts w:eastAsiaTheme="minorEastAsia"/>
          <w:color w:val="333333"/>
          <w:lang w:val="en-GB"/>
        </w:rPr>
        <w:t>whereas</w:t>
      </w:r>
      <w:r w:rsidR="00710FF3">
        <w:rPr>
          <w:rFonts w:eastAsiaTheme="minorEastAsia"/>
          <w:color w:val="333333"/>
          <w:lang w:val="en-GB"/>
        </w:rPr>
        <w:t xml:space="preserve"> part of the per capita costs for laboratory tests and procedures</w:t>
      </w:r>
      <w:r w:rsidR="007B067A">
        <w:rPr>
          <w:rFonts w:eastAsiaTheme="minorEastAsia"/>
          <w:color w:val="333333"/>
          <w:lang w:val="en-GB"/>
        </w:rPr>
        <w:t xml:space="preserve"> for rural patients is linked with an urban provider who will ensure access to these services. </w:t>
      </w:r>
    </w:p>
    <w:p w14:paraId="7640B712" w14:textId="77777777" w:rsidR="00C401A3" w:rsidRPr="005053C3" w:rsidRDefault="00C401A3" w:rsidP="002E590D">
      <w:pPr>
        <w:spacing w:after="0" w:line="240" w:lineRule="auto"/>
        <w:jc w:val="both"/>
        <w:rPr>
          <w:rFonts w:eastAsiaTheme="minorEastAsia"/>
          <w:color w:val="333333"/>
          <w:lang w:val="en-GB"/>
        </w:rPr>
      </w:pPr>
    </w:p>
    <w:p w14:paraId="298108A8" w14:textId="5E5A0FA8" w:rsidR="00FC00C6" w:rsidRDefault="00FC00C6" w:rsidP="002E590D">
      <w:pPr>
        <w:spacing w:after="0" w:line="240" w:lineRule="auto"/>
        <w:jc w:val="both"/>
        <w:rPr>
          <w:lang w:val="en-GB"/>
        </w:rPr>
      </w:pPr>
      <w:r w:rsidRPr="005053C3">
        <w:rPr>
          <w:rFonts w:eastAsiaTheme="minorEastAsia"/>
          <w:lang w:val="en-GB"/>
        </w:rPr>
        <w:t xml:space="preserve">The cost calculations for laboratory tests </w:t>
      </w:r>
      <w:r w:rsidR="3BAEE805" w:rsidRPr="005053C3">
        <w:rPr>
          <w:rFonts w:eastAsiaTheme="minorEastAsia"/>
          <w:lang w:val="en-GB"/>
        </w:rPr>
        <w:t xml:space="preserve">used </w:t>
      </w:r>
      <w:r w:rsidRPr="005053C3">
        <w:rPr>
          <w:rFonts w:eastAsiaTheme="minorEastAsia"/>
          <w:lang w:val="en-GB"/>
        </w:rPr>
        <w:t xml:space="preserve">a </w:t>
      </w:r>
      <w:r w:rsidR="009A2314" w:rsidRPr="005053C3">
        <w:rPr>
          <w:rFonts w:eastAsiaTheme="minorEastAsia"/>
          <w:lang w:val="en-GB"/>
        </w:rPr>
        <w:t xml:space="preserve">projection </w:t>
      </w:r>
      <w:r w:rsidRPr="005053C3">
        <w:rPr>
          <w:rFonts w:eastAsiaTheme="minorEastAsia"/>
          <w:lang w:val="en-GB"/>
        </w:rPr>
        <w:t xml:space="preserve">of patients </w:t>
      </w:r>
      <w:r w:rsidR="31492CE6" w:rsidRPr="005053C3">
        <w:rPr>
          <w:rFonts w:eastAsiaTheme="minorEastAsia"/>
          <w:lang w:val="en-GB"/>
        </w:rPr>
        <w:t>in need of</w:t>
      </w:r>
      <w:r w:rsidRPr="005053C3">
        <w:rPr>
          <w:rFonts w:eastAsiaTheme="minorEastAsia"/>
          <w:lang w:val="en-GB"/>
        </w:rPr>
        <w:t xml:space="preserve"> the services.</w:t>
      </w:r>
      <w:r w:rsidR="7572D12B" w:rsidRPr="005053C3">
        <w:rPr>
          <w:rFonts w:eastAsiaTheme="minorEastAsia"/>
          <w:lang w:val="en-GB"/>
        </w:rPr>
        <w:t xml:space="preserve"> For the population in nee</w:t>
      </w:r>
      <w:r w:rsidR="0284CC11" w:rsidRPr="005053C3">
        <w:rPr>
          <w:rFonts w:eastAsiaTheme="minorEastAsia"/>
          <w:lang w:val="en-GB"/>
        </w:rPr>
        <w:t>d</w:t>
      </w:r>
      <w:r w:rsidR="1A83BEEB" w:rsidRPr="005053C3">
        <w:rPr>
          <w:rFonts w:eastAsiaTheme="minorEastAsia"/>
          <w:lang w:val="en-GB"/>
        </w:rPr>
        <w:t>,</w:t>
      </w:r>
      <w:r w:rsidR="0284CC11" w:rsidRPr="005053C3">
        <w:rPr>
          <w:rFonts w:eastAsiaTheme="minorEastAsia"/>
          <w:lang w:val="en-GB"/>
        </w:rPr>
        <w:t xml:space="preserve"> a previous analysis was used</w:t>
      </w:r>
      <w:r w:rsidR="1FE3438A" w:rsidRPr="005053C3">
        <w:rPr>
          <w:rFonts w:eastAsiaTheme="minorEastAsia"/>
          <w:lang w:val="en-GB"/>
        </w:rPr>
        <w:t>,</w:t>
      </w:r>
      <w:r w:rsidR="0284CC11" w:rsidRPr="005053C3">
        <w:rPr>
          <w:rFonts w:eastAsiaTheme="minorEastAsia"/>
          <w:lang w:val="en-GB"/>
        </w:rPr>
        <w:t xml:space="preserve"> which summarized the use of laboratory tests. A local expert validated the </w:t>
      </w:r>
      <w:r w:rsidR="0B7E6DA2" w:rsidRPr="005053C3">
        <w:rPr>
          <w:rFonts w:eastAsiaTheme="minorEastAsia"/>
          <w:lang w:val="en-GB"/>
        </w:rPr>
        <w:t>estimate</w:t>
      </w:r>
      <w:r w:rsidR="0284CC11" w:rsidRPr="005053C3">
        <w:rPr>
          <w:lang w:val="en-GB"/>
        </w:rPr>
        <w:t xml:space="preserve">. </w:t>
      </w:r>
      <w:r w:rsidR="5CCB0C69" w:rsidRPr="005053C3">
        <w:rPr>
          <w:lang w:val="en-GB"/>
        </w:rPr>
        <w:t xml:space="preserve">However, an </w:t>
      </w:r>
      <w:r w:rsidR="759BFFE9" w:rsidRPr="005053C3">
        <w:rPr>
          <w:lang w:val="en-GB"/>
        </w:rPr>
        <w:t>assessment</w:t>
      </w:r>
      <w:r w:rsidR="0284CC11" w:rsidRPr="005053C3">
        <w:rPr>
          <w:lang w:val="en-GB"/>
        </w:rPr>
        <w:t xml:space="preserve"> </w:t>
      </w:r>
      <w:r w:rsidR="61279127" w:rsidRPr="005053C3">
        <w:rPr>
          <w:lang w:val="en-GB"/>
        </w:rPr>
        <w:t>of this</w:t>
      </w:r>
      <w:r w:rsidR="623A5EEC" w:rsidRPr="005053C3">
        <w:rPr>
          <w:lang w:val="en-GB"/>
        </w:rPr>
        <w:t xml:space="preserve"> pro</w:t>
      </w:r>
      <w:r w:rsidR="4B16A3B6" w:rsidRPr="005053C3">
        <w:rPr>
          <w:lang w:val="en-GB"/>
        </w:rPr>
        <w:t xml:space="preserve">jection </w:t>
      </w:r>
      <w:r w:rsidR="3CB7250A" w:rsidRPr="005053C3">
        <w:rPr>
          <w:lang w:val="en-GB"/>
        </w:rPr>
        <w:t>found that it</w:t>
      </w:r>
      <w:r w:rsidR="623A5EEC" w:rsidRPr="005053C3">
        <w:rPr>
          <w:lang w:val="en-GB"/>
        </w:rPr>
        <w:t xml:space="preserve"> may be too low and not </w:t>
      </w:r>
      <w:r w:rsidR="1AD9D547" w:rsidRPr="005053C3">
        <w:rPr>
          <w:lang w:val="en-GB"/>
        </w:rPr>
        <w:t>consider</w:t>
      </w:r>
      <w:r w:rsidR="623A5EEC" w:rsidRPr="005053C3">
        <w:rPr>
          <w:lang w:val="en-GB"/>
        </w:rPr>
        <w:t xml:space="preserve"> the need for </w:t>
      </w:r>
      <w:r w:rsidR="04B03ABF" w:rsidRPr="005053C3">
        <w:rPr>
          <w:lang w:val="en-GB"/>
        </w:rPr>
        <w:t>repeating tests</w:t>
      </w:r>
      <w:r w:rsidR="623A5EEC" w:rsidRPr="005053C3">
        <w:rPr>
          <w:lang w:val="en-GB"/>
        </w:rPr>
        <w:t xml:space="preserve"> for some patients.</w:t>
      </w:r>
      <w:r w:rsidR="34980A02" w:rsidRPr="005053C3">
        <w:rPr>
          <w:lang w:val="en-GB"/>
        </w:rPr>
        <w:t xml:space="preserve"> A more detailed </w:t>
      </w:r>
      <w:r w:rsidR="38360205" w:rsidRPr="005053C3">
        <w:rPr>
          <w:lang w:val="en-GB"/>
        </w:rPr>
        <w:t>analysis is</w:t>
      </w:r>
      <w:r w:rsidR="74CE585D" w:rsidRPr="005053C3">
        <w:rPr>
          <w:lang w:val="en-GB"/>
        </w:rPr>
        <w:t xml:space="preserve"> </w:t>
      </w:r>
      <w:r w:rsidR="34980A02" w:rsidRPr="005053C3">
        <w:rPr>
          <w:lang w:val="en-GB"/>
        </w:rPr>
        <w:t>need</w:t>
      </w:r>
      <w:r w:rsidR="52F4E38E" w:rsidRPr="005053C3">
        <w:rPr>
          <w:lang w:val="en-GB"/>
        </w:rPr>
        <w:t>ed</w:t>
      </w:r>
      <w:r w:rsidR="34980A02" w:rsidRPr="005053C3">
        <w:rPr>
          <w:lang w:val="en-GB"/>
        </w:rPr>
        <w:t xml:space="preserve"> to assess the actual </w:t>
      </w:r>
      <w:r w:rsidR="063AB683" w:rsidRPr="005053C3">
        <w:rPr>
          <w:lang w:val="en-GB"/>
        </w:rPr>
        <w:t>deman</w:t>
      </w:r>
      <w:r w:rsidR="34980A02" w:rsidRPr="005053C3">
        <w:rPr>
          <w:lang w:val="en-GB"/>
        </w:rPr>
        <w:t>d for laboratory tests.</w:t>
      </w:r>
    </w:p>
    <w:p w14:paraId="4017955F" w14:textId="77777777" w:rsidR="002F28AB" w:rsidRPr="005053C3" w:rsidRDefault="002F28AB" w:rsidP="002E590D">
      <w:pPr>
        <w:spacing w:after="0" w:line="240" w:lineRule="auto"/>
        <w:jc w:val="both"/>
        <w:rPr>
          <w:lang w:val="en-GB"/>
        </w:rPr>
      </w:pPr>
    </w:p>
    <w:p w14:paraId="1CC45BA6" w14:textId="63CA3939" w:rsidR="34980A02" w:rsidRDefault="34980A02" w:rsidP="002E590D">
      <w:pPr>
        <w:spacing w:after="0" w:line="240" w:lineRule="auto"/>
        <w:jc w:val="both"/>
        <w:rPr>
          <w:lang w:val="en-GB"/>
        </w:rPr>
      </w:pPr>
      <w:r w:rsidRPr="005053C3">
        <w:rPr>
          <w:lang w:val="en-GB"/>
        </w:rPr>
        <w:t>The total laboratory tests per enrolled patient were calculated as follows:</w:t>
      </w:r>
    </w:p>
    <w:p w14:paraId="60022622" w14:textId="77777777" w:rsidR="002F28AB" w:rsidRPr="005053C3" w:rsidRDefault="002F28AB" w:rsidP="002E590D">
      <w:pPr>
        <w:spacing w:after="0" w:line="240" w:lineRule="auto"/>
        <w:jc w:val="both"/>
        <w:rPr>
          <w:lang w:val="en-GB"/>
        </w:rPr>
      </w:pPr>
    </w:p>
    <w:p w14:paraId="6E339184" w14:textId="4D7DCBCE" w:rsidR="00FC00C6" w:rsidRDefault="00FC00C6" w:rsidP="002E590D">
      <w:pPr>
        <w:spacing w:after="0" w:line="240" w:lineRule="auto"/>
        <w:jc w:val="both"/>
        <w:rPr>
          <w:i/>
          <w:lang w:val="en-GB"/>
        </w:rPr>
      </w:pPr>
      <w:r w:rsidRPr="005053C3">
        <w:rPr>
          <w:i/>
          <w:lang w:val="en-GB"/>
        </w:rPr>
        <w:t>Per capita costs for laboratory tests= population in need*unit costs/total population enrolled</w:t>
      </w:r>
    </w:p>
    <w:p w14:paraId="6E00756D" w14:textId="77777777" w:rsidR="002F28AB" w:rsidRPr="005053C3" w:rsidRDefault="002F28AB" w:rsidP="002E590D">
      <w:pPr>
        <w:spacing w:after="0" w:line="240" w:lineRule="auto"/>
        <w:jc w:val="both"/>
        <w:rPr>
          <w:i/>
          <w:lang w:val="en-GB"/>
        </w:rPr>
      </w:pPr>
    </w:p>
    <w:p w14:paraId="475D495A" w14:textId="13877AB1" w:rsidR="4BDBC895" w:rsidRPr="005053C3" w:rsidRDefault="4BDBC895" w:rsidP="002E590D">
      <w:pPr>
        <w:spacing w:after="0" w:line="240" w:lineRule="auto"/>
        <w:jc w:val="both"/>
        <w:rPr>
          <w:lang w:val="en-GB"/>
        </w:rPr>
      </w:pPr>
      <w:r w:rsidRPr="005053C3">
        <w:rPr>
          <w:lang w:val="en-GB"/>
        </w:rPr>
        <w:t xml:space="preserve">For laboratory test calculations see </w:t>
      </w:r>
      <w:r w:rsidR="73749292" w:rsidRPr="005053C3">
        <w:rPr>
          <w:lang w:val="en-GB"/>
        </w:rPr>
        <w:t xml:space="preserve">the </w:t>
      </w:r>
      <w:r w:rsidR="00D90CA6" w:rsidRPr="005053C3">
        <w:rPr>
          <w:lang w:val="en-GB"/>
        </w:rPr>
        <w:t>s</w:t>
      </w:r>
      <w:r w:rsidR="42761699" w:rsidRPr="005053C3">
        <w:rPr>
          <w:lang w:val="en-GB"/>
        </w:rPr>
        <w:t>preads</w:t>
      </w:r>
      <w:r w:rsidRPr="005053C3">
        <w:rPr>
          <w:lang w:val="en-GB"/>
        </w:rPr>
        <w:t xml:space="preserve">heet </w:t>
      </w:r>
      <w:r w:rsidR="753540CC" w:rsidRPr="005053C3">
        <w:rPr>
          <w:lang w:val="en-GB"/>
        </w:rPr>
        <w:t>T</w:t>
      </w:r>
      <w:r w:rsidRPr="005053C3">
        <w:rPr>
          <w:lang w:val="en-GB"/>
        </w:rPr>
        <w:t>ests.</w:t>
      </w:r>
    </w:p>
    <w:p w14:paraId="4B5FD3FC" w14:textId="77777777" w:rsidR="002F28AB" w:rsidRDefault="002F28AB" w:rsidP="002E590D">
      <w:pPr>
        <w:spacing w:after="0" w:line="240" w:lineRule="auto"/>
        <w:jc w:val="both"/>
        <w:rPr>
          <w:lang w:val="en-GB"/>
        </w:rPr>
      </w:pPr>
    </w:p>
    <w:p w14:paraId="1B54EFEF" w14:textId="253174C8" w:rsidR="00FC00C6" w:rsidRDefault="00FC00C6" w:rsidP="002E590D">
      <w:pPr>
        <w:spacing w:after="0" w:line="240" w:lineRule="auto"/>
        <w:jc w:val="both"/>
        <w:rPr>
          <w:lang w:val="en-GB"/>
        </w:rPr>
      </w:pPr>
      <w:r w:rsidRPr="000F573F">
        <w:rPr>
          <w:lang w:val="en-GB"/>
        </w:rPr>
        <w:t>Total basic capitation was summarised based on per capita basic costs and per capita costs on laboratory tests</w:t>
      </w:r>
      <w:r w:rsidR="00792087">
        <w:rPr>
          <w:lang w:val="en-GB"/>
        </w:rPr>
        <w:t xml:space="preserve"> (table </w:t>
      </w:r>
      <w:r w:rsidR="00F05C41">
        <w:rPr>
          <w:lang w:val="en-GB"/>
        </w:rPr>
        <w:t>8</w:t>
      </w:r>
      <w:r w:rsidR="00792087">
        <w:rPr>
          <w:lang w:val="en-GB"/>
        </w:rPr>
        <w:t>)</w:t>
      </w:r>
      <w:r w:rsidRPr="000F573F">
        <w:rPr>
          <w:lang w:val="en-GB"/>
        </w:rPr>
        <w:t xml:space="preserve">. </w:t>
      </w:r>
    </w:p>
    <w:p w14:paraId="101BCA68" w14:textId="41782984" w:rsidR="003628A7" w:rsidRDefault="003628A7" w:rsidP="002E590D">
      <w:pPr>
        <w:spacing w:after="0" w:line="240" w:lineRule="auto"/>
        <w:jc w:val="both"/>
        <w:rPr>
          <w:lang w:val="en-GB"/>
        </w:rPr>
      </w:pPr>
    </w:p>
    <w:p w14:paraId="39DD8AEA" w14:textId="0327044F" w:rsidR="00D85CBC" w:rsidRDefault="00D85CBC" w:rsidP="002E590D">
      <w:pPr>
        <w:spacing w:after="0" w:line="240" w:lineRule="auto"/>
        <w:jc w:val="both"/>
        <w:rPr>
          <w:lang w:val="en-GB"/>
        </w:rPr>
      </w:pPr>
    </w:p>
    <w:p w14:paraId="0ADD0140" w14:textId="5B85B0B8" w:rsidR="00D85CBC" w:rsidRDefault="00D85CBC" w:rsidP="002E590D">
      <w:pPr>
        <w:spacing w:after="0" w:line="240" w:lineRule="auto"/>
        <w:jc w:val="both"/>
        <w:rPr>
          <w:lang w:val="en-GB"/>
        </w:rPr>
      </w:pPr>
    </w:p>
    <w:p w14:paraId="32D963B8" w14:textId="58D34F14" w:rsidR="00D85CBC" w:rsidRDefault="00D85CBC" w:rsidP="002E590D">
      <w:pPr>
        <w:spacing w:after="0" w:line="240" w:lineRule="auto"/>
        <w:jc w:val="both"/>
        <w:rPr>
          <w:lang w:val="en-GB"/>
        </w:rPr>
      </w:pPr>
    </w:p>
    <w:p w14:paraId="3D8D85D0" w14:textId="79534457" w:rsidR="00D85CBC" w:rsidRDefault="00D85CBC" w:rsidP="002E590D">
      <w:pPr>
        <w:spacing w:after="0" w:line="240" w:lineRule="auto"/>
        <w:jc w:val="both"/>
        <w:rPr>
          <w:lang w:val="en-GB"/>
        </w:rPr>
      </w:pPr>
    </w:p>
    <w:p w14:paraId="0A71BE43" w14:textId="489CBF2B" w:rsidR="00D85CBC" w:rsidRDefault="00D85CBC" w:rsidP="002E590D">
      <w:pPr>
        <w:spacing w:after="0" w:line="240" w:lineRule="auto"/>
        <w:jc w:val="both"/>
        <w:rPr>
          <w:lang w:val="en-GB"/>
        </w:rPr>
      </w:pPr>
    </w:p>
    <w:p w14:paraId="405EC29E" w14:textId="0E5CF3C1" w:rsidR="00D85CBC" w:rsidRDefault="00D85CBC" w:rsidP="002E590D">
      <w:pPr>
        <w:spacing w:after="0" w:line="240" w:lineRule="auto"/>
        <w:jc w:val="both"/>
        <w:rPr>
          <w:lang w:val="en-GB"/>
        </w:rPr>
      </w:pPr>
    </w:p>
    <w:p w14:paraId="74627127" w14:textId="3D08BB6B" w:rsidR="00334987" w:rsidRPr="005053C3" w:rsidRDefault="00334987" w:rsidP="00334987">
      <w:pPr>
        <w:spacing w:after="0" w:line="240" w:lineRule="auto"/>
        <w:jc w:val="both"/>
        <w:rPr>
          <w:lang w:val="en-GB"/>
        </w:rPr>
      </w:pPr>
      <w:r w:rsidRPr="00C401A3">
        <w:rPr>
          <w:b/>
          <w:bCs/>
          <w:lang w:val="en-GB"/>
        </w:rPr>
        <w:t>Table</w:t>
      </w:r>
      <w:r w:rsidR="00F05C41">
        <w:rPr>
          <w:b/>
          <w:bCs/>
          <w:lang w:val="en-GB"/>
        </w:rPr>
        <w:t xml:space="preserve"> 8</w:t>
      </w:r>
      <w:r w:rsidRPr="00C401A3">
        <w:rPr>
          <w:b/>
          <w:bCs/>
          <w:lang w:val="en-GB"/>
        </w:rPr>
        <w:t>.</w:t>
      </w:r>
      <w:r w:rsidRPr="005053C3">
        <w:rPr>
          <w:lang w:val="en-GB"/>
        </w:rPr>
        <w:t xml:space="preserve"> </w:t>
      </w:r>
      <w:r w:rsidR="00792087">
        <w:rPr>
          <w:lang w:val="en-GB"/>
        </w:rPr>
        <w:t xml:space="preserve">Payment calculations for </w:t>
      </w:r>
      <w:r w:rsidR="00D85CBC">
        <w:rPr>
          <w:lang w:val="en-GB"/>
        </w:rPr>
        <w:t xml:space="preserve">monthly </w:t>
      </w:r>
      <w:r w:rsidR="00792087">
        <w:rPr>
          <w:lang w:val="en-GB"/>
        </w:rPr>
        <w:t>capitation</w:t>
      </w:r>
      <w:r w:rsidR="00D85CBC">
        <w:rPr>
          <w:lang w:val="en-GB"/>
        </w:rPr>
        <w:t xml:space="preserve"> and lump-sum</w:t>
      </w:r>
    </w:p>
    <w:tbl>
      <w:tblPr>
        <w:tblStyle w:val="GridTable4-Accent5"/>
        <w:tblW w:w="10242" w:type="dxa"/>
        <w:tblLayout w:type="fixed"/>
        <w:tblLook w:val="04A0" w:firstRow="1" w:lastRow="0" w:firstColumn="1" w:lastColumn="0" w:noHBand="0" w:noVBand="1"/>
      </w:tblPr>
      <w:tblGrid>
        <w:gridCol w:w="1226"/>
        <w:gridCol w:w="1177"/>
        <w:gridCol w:w="716"/>
        <w:gridCol w:w="1062"/>
        <w:gridCol w:w="1157"/>
        <w:gridCol w:w="884"/>
        <w:gridCol w:w="993"/>
        <w:gridCol w:w="992"/>
        <w:gridCol w:w="1276"/>
        <w:gridCol w:w="759"/>
      </w:tblGrid>
      <w:tr w:rsidR="00681EA9" w:rsidRPr="006A4E9C" w14:paraId="248DAE6B" w14:textId="77777777" w:rsidTr="006367F8">
        <w:trPr>
          <w:cnfStyle w:val="100000000000" w:firstRow="1" w:lastRow="0" w:firstColumn="0" w:lastColumn="0" w:oddVBand="0" w:evenVBand="0" w:oddHBand="0" w:evenHBand="0" w:firstRowFirstColumn="0" w:firstRowLastColumn="0" w:lastRowFirstColumn="0" w:lastRowLastColumn="0"/>
          <w:trHeight w:val="163"/>
        </w:trPr>
        <w:tc>
          <w:tcPr>
            <w:cnfStyle w:val="001000000000" w:firstRow="0" w:lastRow="0" w:firstColumn="1" w:lastColumn="0" w:oddVBand="0" w:evenVBand="0" w:oddHBand="0" w:evenHBand="0" w:firstRowFirstColumn="0" w:firstRowLastColumn="0" w:lastRowFirstColumn="0" w:lastRowLastColumn="0"/>
            <w:tcW w:w="1226" w:type="dxa"/>
            <w:vMerge w:val="restart"/>
            <w:tcBorders>
              <w:left w:val="single" w:sz="12" w:space="0" w:color="4472C4" w:themeColor="accent1"/>
              <w:right w:val="single" w:sz="12" w:space="0" w:color="4472C4" w:themeColor="accent1"/>
            </w:tcBorders>
            <w:vAlign w:val="center"/>
            <w:hideMark/>
          </w:tcPr>
          <w:p w14:paraId="4F6F7D64" w14:textId="77777777" w:rsidR="0092791A" w:rsidRPr="003628A7" w:rsidRDefault="0092791A" w:rsidP="002E590D">
            <w:pPr>
              <w:jc w:val="center"/>
              <w:rPr>
                <w:rFonts w:ascii="Calibri" w:eastAsia="Times New Roman" w:hAnsi="Calibri" w:cs="Times New Roman"/>
                <w:color w:val="auto"/>
                <w:lang w:val="en-US" w:eastAsia="et-EE"/>
              </w:rPr>
            </w:pPr>
            <w:r w:rsidRPr="003628A7">
              <w:rPr>
                <w:rFonts w:ascii="Calibri" w:eastAsia="Times New Roman" w:hAnsi="Calibri" w:cs="Times New Roman"/>
                <w:color w:val="auto"/>
                <w:lang w:val="en-US" w:eastAsia="et-EE"/>
              </w:rPr>
              <w:t>Capitation covering basic costs</w:t>
            </w:r>
          </w:p>
        </w:tc>
        <w:tc>
          <w:tcPr>
            <w:tcW w:w="2955" w:type="dxa"/>
            <w:gridSpan w:val="3"/>
            <w:tcBorders>
              <w:left w:val="single" w:sz="12" w:space="0" w:color="4472C4" w:themeColor="accent1"/>
              <w:bottom w:val="single" w:sz="12" w:space="0" w:color="4472C4" w:themeColor="accent1"/>
              <w:right w:val="single" w:sz="12" w:space="0" w:color="4472C4" w:themeColor="accent1"/>
            </w:tcBorders>
            <w:vAlign w:val="center"/>
            <w:hideMark/>
          </w:tcPr>
          <w:p w14:paraId="032A356E" w14:textId="77777777" w:rsidR="0092791A" w:rsidRPr="003628A7" w:rsidRDefault="0092791A" w:rsidP="002E59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lang w:val="en-US" w:eastAsia="et-EE"/>
              </w:rPr>
            </w:pPr>
            <w:r w:rsidRPr="003628A7">
              <w:rPr>
                <w:rFonts w:ascii="Calibri" w:eastAsia="Times New Roman" w:hAnsi="Calibri" w:cs="Times New Roman"/>
                <w:color w:val="auto"/>
                <w:lang w:val="en-US" w:eastAsia="et-EE"/>
              </w:rPr>
              <w:t xml:space="preserve">Target population </w:t>
            </w:r>
            <w:r w:rsidRPr="003628A7">
              <w:rPr>
                <w:rFonts w:ascii="Calibri" w:eastAsia="Times New Roman" w:hAnsi="Calibri" w:cs="Times New Roman"/>
                <w:color w:val="auto"/>
                <w:lang w:val="en-US" w:eastAsia="et-EE"/>
              </w:rPr>
              <w:br/>
              <w:t>(national level)</w:t>
            </w:r>
          </w:p>
        </w:tc>
        <w:tc>
          <w:tcPr>
            <w:tcW w:w="1157" w:type="dxa"/>
            <w:vMerge w:val="restart"/>
            <w:tcBorders>
              <w:left w:val="single" w:sz="12" w:space="0" w:color="4472C4" w:themeColor="accent1"/>
              <w:right w:val="single" w:sz="12" w:space="0" w:color="4472C4" w:themeColor="accent1"/>
            </w:tcBorders>
            <w:vAlign w:val="center"/>
            <w:hideMark/>
          </w:tcPr>
          <w:p w14:paraId="2D414436" w14:textId="77777777" w:rsidR="0092791A" w:rsidRPr="003628A7" w:rsidRDefault="0092791A" w:rsidP="002E59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auto"/>
                <w:lang w:val="en-US" w:eastAsia="et-EE"/>
              </w:rPr>
            </w:pPr>
            <w:r w:rsidRPr="003628A7">
              <w:rPr>
                <w:rFonts w:ascii="Calibri" w:eastAsia="Times New Roman" w:hAnsi="Calibri" w:cs="Times New Roman"/>
                <w:color w:val="auto"/>
                <w:lang w:val="en-US" w:eastAsia="et-EE"/>
              </w:rPr>
              <w:t>Minimum patient list size per FD</w:t>
            </w:r>
          </w:p>
          <w:p w14:paraId="0550771C" w14:textId="3BE29858" w:rsidR="0092791A" w:rsidRPr="003628A7" w:rsidRDefault="0092791A" w:rsidP="002E59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lang w:val="en-US" w:eastAsia="et-EE"/>
              </w:rPr>
            </w:pPr>
            <w:r w:rsidRPr="003628A7">
              <w:rPr>
                <w:rFonts w:ascii="Calibri" w:eastAsia="Times New Roman" w:hAnsi="Calibri" w:cs="Times New Roman"/>
                <w:color w:val="auto"/>
                <w:lang w:val="en-US" w:eastAsia="et-EE"/>
              </w:rPr>
              <w:t> </w:t>
            </w:r>
          </w:p>
        </w:tc>
        <w:tc>
          <w:tcPr>
            <w:tcW w:w="884" w:type="dxa"/>
            <w:vMerge w:val="restart"/>
            <w:tcBorders>
              <w:left w:val="single" w:sz="12" w:space="0" w:color="4472C4" w:themeColor="accent1"/>
              <w:right w:val="single" w:sz="12" w:space="0" w:color="4472C4" w:themeColor="accent1"/>
            </w:tcBorders>
            <w:vAlign w:val="center"/>
            <w:hideMark/>
          </w:tcPr>
          <w:p w14:paraId="6D27FA32" w14:textId="77777777" w:rsidR="0092791A" w:rsidRPr="003628A7" w:rsidRDefault="0092791A" w:rsidP="002E59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auto"/>
                <w:sz w:val="20"/>
                <w:szCs w:val="20"/>
                <w:lang w:val="en-US" w:eastAsia="et-EE"/>
              </w:rPr>
            </w:pPr>
            <w:r w:rsidRPr="003628A7">
              <w:rPr>
                <w:rFonts w:ascii="Calibri" w:eastAsia="Times New Roman" w:hAnsi="Calibri" w:cs="Times New Roman"/>
                <w:color w:val="auto"/>
                <w:sz w:val="20"/>
                <w:szCs w:val="20"/>
                <w:lang w:val="en-US" w:eastAsia="et-EE"/>
              </w:rPr>
              <w:t>Total annual costs</w:t>
            </w:r>
          </w:p>
          <w:p w14:paraId="7AF61ED9" w14:textId="31B64FEB" w:rsidR="0092791A" w:rsidRPr="003628A7" w:rsidRDefault="0092791A" w:rsidP="002E59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sz w:val="20"/>
                <w:szCs w:val="20"/>
                <w:lang w:val="en-US" w:eastAsia="et-EE"/>
              </w:rPr>
            </w:pPr>
            <w:r w:rsidRPr="003628A7">
              <w:rPr>
                <w:rFonts w:ascii="Calibri" w:eastAsia="Times New Roman" w:hAnsi="Calibri" w:cs="Times New Roman"/>
                <w:color w:val="auto"/>
                <w:sz w:val="20"/>
                <w:szCs w:val="20"/>
                <w:lang w:val="en-US" w:eastAsia="et-EE"/>
              </w:rPr>
              <w:t> </w:t>
            </w:r>
          </w:p>
        </w:tc>
        <w:tc>
          <w:tcPr>
            <w:tcW w:w="993" w:type="dxa"/>
            <w:vMerge w:val="restart"/>
            <w:tcBorders>
              <w:left w:val="single" w:sz="12" w:space="0" w:color="4472C4" w:themeColor="accent1"/>
              <w:right w:val="single" w:sz="12" w:space="0" w:color="4472C4" w:themeColor="accent1"/>
            </w:tcBorders>
            <w:vAlign w:val="center"/>
          </w:tcPr>
          <w:p w14:paraId="2C226D1B" w14:textId="1855748E" w:rsidR="0092791A" w:rsidRPr="003628A7" w:rsidRDefault="0092791A" w:rsidP="002E59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sz w:val="20"/>
                <w:szCs w:val="20"/>
                <w:lang w:val="en-US" w:eastAsia="et-EE"/>
              </w:rPr>
            </w:pPr>
            <w:r w:rsidRPr="003628A7">
              <w:rPr>
                <w:rFonts w:ascii="Calibri" w:eastAsia="Times New Roman" w:hAnsi="Calibri" w:cs="Times New Roman"/>
                <w:color w:val="auto"/>
                <w:sz w:val="20"/>
                <w:szCs w:val="20"/>
                <w:lang w:val="en-US" w:eastAsia="et-EE"/>
              </w:rPr>
              <w:t>Monthly lump- sum</w:t>
            </w:r>
          </w:p>
        </w:tc>
        <w:tc>
          <w:tcPr>
            <w:tcW w:w="992" w:type="dxa"/>
            <w:vMerge w:val="restart"/>
            <w:tcBorders>
              <w:left w:val="single" w:sz="12" w:space="0" w:color="4472C4" w:themeColor="accent1"/>
              <w:right w:val="single" w:sz="12" w:space="0" w:color="4472C4" w:themeColor="accent1"/>
            </w:tcBorders>
            <w:vAlign w:val="center"/>
            <w:hideMark/>
          </w:tcPr>
          <w:p w14:paraId="40FBFA62" w14:textId="0844713E" w:rsidR="0092791A" w:rsidRPr="003628A7" w:rsidRDefault="0092791A" w:rsidP="002E59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auto"/>
                <w:sz w:val="20"/>
                <w:szCs w:val="20"/>
                <w:lang w:val="en-US" w:eastAsia="et-EE"/>
              </w:rPr>
            </w:pPr>
            <w:r w:rsidRPr="003628A7">
              <w:rPr>
                <w:rFonts w:ascii="Calibri" w:eastAsia="Times New Roman" w:hAnsi="Calibri" w:cs="Times New Roman"/>
                <w:color w:val="auto"/>
                <w:sz w:val="20"/>
                <w:szCs w:val="20"/>
                <w:lang w:val="en-US" w:eastAsia="et-EE"/>
              </w:rPr>
              <w:t xml:space="preserve">Monthly cost per enrollee </w:t>
            </w:r>
          </w:p>
          <w:p w14:paraId="4F0A6C13" w14:textId="1DC15047" w:rsidR="0092791A" w:rsidRPr="003628A7" w:rsidRDefault="0092791A" w:rsidP="002E59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sz w:val="20"/>
                <w:szCs w:val="20"/>
                <w:lang w:val="en-US" w:eastAsia="et-EE"/>
              </w:rPr>
            </w:pPr>
            <w:r w:rsidRPr="003628A7">
              <w:rPr>
                <w:rFonts w:ascii="Calibri" w:eastAsia="Times New Roman" w:hAnsi="Calibri" w:cs="Times New Roman"/>
                <w:color w:val="auto"/>
                <w:sz w:val="20"/>
                <w:szCs w:val="20"/>
                <w:lang w:val="en-US" w:eastAsia="et-EE"/>
              </w:rPr>
              <w:t> </w:t>
            </w:r>
          </w:p>
        </w:tc>
        <w:tc>
          <w:tcPr>
            <w:tcW w:w="1276" w:type="dxa"/>
            <w:vMerge w:val="restart"/>
            <w:tcBorders>
              <w:left w:val="single" w:sz="12" w:space="0" w:color="4472C4" w:themeColor="accent1"/>
              <w:right w:val="single" w:sz="12" w:space="0" w:color="4472C4" w:themeColor="accent1"/>
            </w:tcBorders>
            <w:vAlign w:val="center"/>
            <w:hideMark/>
          </w:tcPr>
          <w:p w14:paraId="34847A82" w14:textId="77777777" w:rsidR="0092791A" w:rsidRPr="003628A7" w:rsidRDefault="0092791A" w:rsidP="002E59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auto"/>
                <w:sz w:val="20"/>
                <w:szCs w:val="20"/>
                <w:lang w:val="en-US" w:eastAsia="et-EE"/>
              </w:rPr>
            </w:pPr>
            <w:r w:rsidRPr="003628A7">
              <w:rPr>
                <w:rFonts w:ascii="Calibri" w:eastAsia="Times New Roman" w:hAnsi="Calibri" w:cs="Times New Roman"/>
                <w:color w:val="auto"/>
                <w:sz w:val="20"/>
                <w:szCs w:val="20"/>
                <w:lang w:val="en-US" w:eastAsia="et-EE"/>
              </w:rPr>
              <w:t xml:space="preserve">Total annual cost </w:t>
            </w:r>
          </w:p>
          <w:p w14:paraId="18D20518" w14:textId="595C8BF1" w:rsidR="0092791A" w:rsidRPr="003628A7" w:rsidRDefault="0092791A" w:rsidP="002E59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sz w:val="20"/>
                <w:szCs w:val="20"/>
                <w:lang w:val="en-US" w:eastAsia="et-EE"/>
              </w:rPr>
            </w:pPr>
            <w:r w:rsidRPr="003628A7">
              <w:rPr>
                <w:rFonts w:ascii="Calibri" w:eastAsia="Times New Roman" w:hAnsi="Calibri" w:cs="Times New Roman"/>
                <w:color w:val="auto"/>
                <w:sz w:val="20"/>
                <w:szCs w:val="20"/>
                <w:lang w:val="en-US" w:eastAsia="et-EE"/>
              </w:rPr>
              <w:t> </w:t>
            </w:r>
          </w:p>
        </w:tc>
        <w:tc>
          <w:tcPr>
            <w:tcW w:w="759" w:type="dxa"/>
            <w:vMerge w:val="restart"/>
            <w:tcBorders>
              <w:left w:val="single" w:sz="12" w:space="0" w:color="4472C4" w:themeColor="accent1"/>
              <w:right w:val="single" w:sz="12" w:space="0" w:color="4472C4" w:themeColor="accent1"/>
            </w:tcBorders>
            <w:vAlign w:val="center"/>
            <w:hideMark/>
          </w:tcPr>
          <w:p w14:paraId="36DE0793" w14:textId="77777777" w:rsidR="0092791A" w:rsidRPr="003628A7" w:rsidRDefault="0092791A" w:rsidP="002E59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auto"/>
                <w:sz w:val="20"/>
                <w:szCs w:val="20"/>
                <w:lang w:val="en-US" w:eastAsia="et-EE"/>
              </w:rPr>
            </w:pPr>
            <w:r w:rsidRPr="003628A7">
              <w:rPr>
                <w:rFonts w:ascii="Calibri" w:eastAsia="Times New Roman" w:hAnsi="Calibri" w:cs="Times New Roman"/>
                <w:color w:val="auto"/>
                <w:sz w:val="20"/>
                <w:szCs w:val="20"/>
                <w:lang w:val="en-US" w:eastAsia="et-EE"/>
              </w:rPr>
              <w:t xml:space="preserve">% of </w:t>
            </w:r>
          </w:p>
          <w:p w14:paraId="68A0BDD2" w14:textId="08300FE2" w:rsidR="0092791A" w:rsidRPr="003628A7" w:rsidRDefault="0092791A" w:rsidP="002E59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auto"/>
                <w:sz w:val="20"/>
                <w:szCs w:val="20"/>
                <w:lang w:val="en-US" w:eastAsia="et-EE"/>
              </w:rPr>
            </w:pPr>
            <w:r w:rsidRPr="003628A7">
              <w:rPr>
                <w:rFonts w:ascii="Calibri" w:eastAsia="Times New Roman" w:hAnsi="Calibri" w:cs="Times New Roman"/>
                <w:color w:val="auto"/>
                <w:sz w:val="20"/>
                <w:szCs w:val="20"/>
                <w:lang w:val="en-US" w:eastAsia="et-EE"/>
              </w:rPr>
              <w:t>total capitation</w:t>
            </w:r>
          </w:p>
          <w:p w14:paraId="4C1A35C5" w14:textId="799F0218" w:rsidR="0092791A" w:rsidRPr="003628A7" w:rsidRDefault="0092791A" w:rsidP="002E59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sz w:val="20"/>
                <w:szCs w:val="20"/>
                <w:lang w:val="en-US" w:eastAsia="et-EE"/>
              </w:rPr>
            </w:pPr>
            <w:r w:rsidRPr="003628A7">
              <w:rPr>
                <w:rFonts w:ascii="Calibri" w:eastAsia="Times New Roman" w:hAnsi="Calibri" w:cs="Times New Roman"/>
                <w:color w:val="auto"/>
                <w:sz w:val="20"/>
                <w:szCs w:val="20"/>
                <w:lang w:val="en-US" w:eastAsia="et-EE"/>
              </w:rPr>
              <w:t> </w:t>
            </w:r>
          </w:p>
        </w:tc>
      </w:tr>
      <w:tr w:rsidR="00681EA9" w:rsidRPr="006A4E9C" w14:paraId="4249B0EA" w14:textId="77777777" w:rsidTr="006367F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226" w:type="dxa"/>
            <w:vMerge/>
            <w:tcBorders>
              <w:left w:val="single" w:sz="12" w:space="0" w:color="4472C4" w:themeColor="accent1"/>
              <w:right w:val="single" w:sz="12" w:space="0" w:color="4472C4" w:themeColor="accent1"/>
            </w:tcBorders>
            <w:vAlign w:val="center"/>
            <w:hideMark/>
          </w:tcPr>
          <w:p w14:paraId="6A690F44" w14:textId="77777777" w:rsidR="0092791A" w:rsidRPr="003D1533" w:rsidRDefault="0092791A" w:rsidP="002E590D">
            <w:pPr>
              <w:rPr>
                <w:rFonts w:ascii="Calibri" w:eastAsia="Times New Roman" w:hAnsi="Calibri" w:cs="Times New Roman"/>
                <w:sz w:val="20"/>
                <w:szCs w:val="20"/>
                <w:lang w:val="en-US" w:eastAsia="et-EE"/>
              </w:rPr>
            </w:pPr>
          </w:p>
        </w:tc>
        <w:tc>
          <w:tcPr>
            <w:tcW w:w="1177" w:type="dxa"/>
            <w:tcBorders>
              <w:top w:val="single" w:sz="12" w:space="0" w:color="4472C4" w:themeColor="accent1"/>
              <w:left w:val="single" w:sz="12" w:space="0" w:color="4472C4" w:themeColor="accent1"/>
              <w:right w:val="single" w:sz="12" w:space="0" w:color="4472C4" w:themeColor="accent1"/>
            </w:tcBorders>
            <w:shd w:val="clear" w:color="auto" w:fill="5B9BD5" w:themeFill="accent5"/>
            <w:vAlign w:val="center"/>
            <w:hideMark/>
          </w:tcPr>
          <w:p w14:paraId="5B7BA015" w14:textId="77777777" w:rsidR="0092791A" w:rsidRPr="003D1533" w:rsidRDefault="0092791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en-US" w:eastAsia="et-EE"/>
              </w:rPr>
            </w:pPr>
            <w:r w:rsidRPr="003D1533">
              <w:rPr>
                <w:rFonts w:ascii="Calibri" w:eastAsia="Times New Roman" w:hAnsi="Calibri" w:cs="Times New Roman"/>
                <w:b/>
                <w:bCs/>
                <w:sz w:val="20"/>
                <w:szCs w:val="20"/>
                <w:lang w:val="en-US" w:eastAsia="et-EE"/>
              </w:rPr>
              <w:t>Total population</w:t>
            </w:r>
          </w:p>
        </w:tc>
        <w:tc>
          <w:tcPr>
            <w:tcW w:w="716" w:type="dxa"/>
            <w:tcBorders>
              <w:top w:val="single" w:sz="12" w:space="0" w:color="4472C4" w:themeColor="accent1"/>
              <w:left w:val="single" w:sz="12" w:space="0" w:color="4472C4" w:themeColor="accent1"/>
              <w:right w:val="single" w:sz="12" w:space="0" w:color="4472C4" w:themeColor="accent1"/>
            </w:tcBorders>
            <w:shd w:val="clear" w:color="auto" w:fill="5B9BD5" w:themeFill="accent5"/>
            <w:vAlign w:val="center"/>
            <w:hideMark/>
          </w:tcPr>
          <w:p w14:paraId="4F322281" w14:textId="77777777" w:rsidR="0092791A" w:rsidRPr="003D1533" w:rsidRDefault="0092791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en-US" w:eastAsia="et-EE"/>
              </w:rPr>
            </w:pPr>
            <w:r w:rsidRPr="003D1533">
              <w:rPr>
                <w:rFonts w:ascii="Calibri" w:eastAsia="Times New Roman" w:hAnsi="Calibri" w:cs="Times New Roman"/>
                <w:b/>
                <w:bCs/>
                <w:sz w:val="20"/>
                <w:szCs w:val="20"/>
                <w:lang w:val="en-US" w:eastAsia="et-EE"/>
              </w:rPr>
              <w:t>Cove-</w:t>
            </w:r>
          </w:p>
          <w:p w14:paraId="30B9338D" w14:textId="252D2005" w:rsidR="0092791A" w:rsidRPr="003D1533" w:rsidRDefault="0092791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en-US" w:eastAsia="et-EE"/>
              </w:rPr>
            </w:pPr>
            <w:r w:rsidRPr="003D1533">
              <w:rPr>
                <w:rFonts w:ascii="Calibri" w:eastAsia="Times New Roman" w:hAnsi="Calibri" w:cs="Times New Roman"/>
                <w:b/>
                <w:bCs/>
                <w:sz w:val="20"/>
                <w:szCs w:val="20"/>
                <w:lang w:val="en-US" w:eastAsia="et-EE"/>
              </w:rPr>
              <w:t>rage %</w:t>
            </w:r>
          </w:p>
        </w:tc>
        <w:tc>
          <w:tcPr>
            <w:tcW w:w="1062" w:type="dxa"/>
            <w:tcBorders>
              <w:top w:val="single" w:sz="12" w:space="0" w:color="4472C4" w:themeColor="accent1"/>
              <w:left w:val="single" w:sz="12" w:space="0" w:color="4472C4" w:themeColor="accent1"/>
              <w:right w:val="single" w:sz="12" w:space="0" w:color="4472C4" w:themeColor="accent1"/>
            </w:tcBorders>
            <w:shd w:val="clear" w:color="auto" w:fill="5B9BD5" w:themeFill="accent5"/>
            <w:vAlign w:val="center"/>
            <w:hideMark/>
          </w:tcPr>
          <w:p w14:paraId="4BFB6D9B" w14:textId="77777777" w:rsidR="0092791A" w:rsidRPr="003D1533" w:rsidRDefault="0092791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en-US" w:eastAsia="et-EE"/>
              </w:rPr>
            </w:pPr>
            <w:r w:rsidRPr="003D1533">
              <w:rPr>
                <w:rFonts w:ascii="Calibri" w:eastAsia="Times New Roman" w:hAnsi="Calibri" w:cs="Times New Roman"/>
                <w:b/>
                <w:bCs/>
                <w:sz w:val="20"/>
                <w:szCs w:val="20"/>
                <w:lang w:val="en-US" w:eastAsia="et-EE"/>
              </w:rPr>
              <w:t>Share of population in rural or urban area %</w:t>
            </w:r>
          </w:p>
        </w:tc>
        <w:tc>
          <w:tcPr>
            <w:tcW w:w="1157" w:type="dxa"/>
            <w:vMerge/>
            <w:tcBorders>
              <w:left w:val="single" w:sz="12" w:space="0" w:color="4472C4" w:themeColor="accent1"/>
              <w:right w:val="single" w:sz="12" w:space="0" w:color="4472C4" w:themeColor="accent1"/>
            </w:tcBorders>
            <w:vAlign w:val="center"/>
            <w:hideMark/>
          </w:tcPr>
          <w:p w14:paraId="07A8B4CB" w14:textId="65ACB24E" w:rsidR="0092791A" w:rsidRPr="003D1533" w:rsidRDefault="0092791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en-US" w:eastAsia="et-EE"/>
              </w:rPr>
            </w:pPr>
          </w:p>
        </w:tc>
        <w:tc>
          <w:tcPr>
            <w:tcW w:w="884" w:type="dxa"/>
            <w:vMerge/>
            <w:tcBorders>
              <w:left w:val="single" w:sz="12" w:space="0" w:color="4472C4" w:themeColor="accent1"/>
              <w:right w:val="single" w:sz="12" w:space="0" w:color="4472C4" w:themeColor="accent1"/>
            </w:tcBorders>
            <w:vAlign w:val="center"/>
            <w:hideMark/>
          </w:tcPr>
          <w:p w14:paraId="6E2C8F48" w14:textId="69A15432" w:rsidR="0092791A" w:rsidRPr="003D1533" w:rsidRDefault="0092791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en-US" w:eastAsia="et-EE"/>
              </w:rPr>
            </w:pPr>
          </w:p>
        </w:tc>
        <w:tc>
          <w:tcPr>
            <w:tcW w:w="993" w:type="dxa"/>
            <w:vMerge/>
            <w:tcBorders>
              <w:left w:val="single" w:sz="12" w:space="0" w:color="4472C4" w:themeColor="accent1"/>
              <w:right w:val="single" w:sz="12" w:space="0" w:color="4472C4" w:themeColor="accent1"/>
            </w:tcBorders>
            <w:vAlign w:val="center"/>
          </w:tcPr>
          <w:p w14:paraId="5EDC7910" w14:textId="77777777" w:rsidR="0092791A" w:rsidRPr="003D1533" w:rsidRDefault="0092791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val="en-US" w:eastAsia="et-EE"/>
              </w:rPr>
            </w:pPr>
          </w:p>
        </w:tc>
        <w:tc>
          <w:tcPr>
            <w:tcW w:w="992" w:type="dxa"/>
            <w:vMerge/>
            <w:tcBorders>
              <w:left w:val="single" w:sz="12" w:space="0" w:color="4472C4" w:themeColor="accent1"/>
              <w:right w:val="single" w:sz="12" w:space="0" w:color="4472C4" w:themeColor="accent1"/>
            </w:tcBorders>
            <w:noWrap/>
            <w:vAlign w:val="center"/>
            <w:hideMark/>
          </w:tcPr>
          <w:p w14:paraId="3E81BE8F" w14:textId="39A3E031" w:rsidR="0092791A" w:rsidRPr="003D1533" w:rsidRDefault="0092791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val="en-US" w:eastAsia="et-EE"/>
              </w:rPr>
            </w:pPr>
          </w:p>
        </w:tc>
        <w:tc>
          <w:tcPr>
            <w:tcW w:w="1276" w:type="dxa"/>
            <w:vMerge/>
            <w:tcBorders>
              <w:left w:val="single" w:sz="12" w:space="0" w:color="4472C4" w:themeColor="accent1"/>
              <w:right w:val="single" w:sz="12" w:space="0" w:color="4472C4" w:themeColor="accent1"/>
            </w:tcBorders>
            <w:noWrap/>
            <w:vAlign w:val="center"/>
            <w:hideMark/>
          </w:tcPr>
          <w:p w14:paraId="2A8CA43B" w14:textId="0C08467A" w:rsidR="0092791A" w:rsidRPr="003D1533" w:rsidRDefault="0092791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val="en-US" w:eastAsia="et-EE"/>
              </w:rPr>
            </w:pPr>
          </w:p>
        </w:tc>
        <w:tc>
          <w:tcPr>
            <w:tcW w:w="759" w:type="dxa"/>
            <w:vMerge/>
            <w:tcBorders>
              <w:left w:val="single" w:sz="12" w:space="0" w:color="4472C4" w:themeColor="accent1"/>
              <w:right w:val="single" w:sz="12" w:space="0" w:color="4472C4" w:themeColor="accent1"/>
            </w:tcBorders>
            <w:noWrap/>
            <w:vAlign w:val="center"/>
            <w:hideMark/>
          </w:tcPr>
          <w:p w14:paraId="70853B88" w14:textId="6A0BFAC8" w:rsidR="0092791A" w:rsidRPr="003D1533" w:rsidRDefault="0092791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val="en-US" w:eastAsia="et-EE"/>
              </w:rPr>
            </w:pPr>
          </w:p>
        </w:tc>
      </w:tr>
      <w:tr w:rsidR="006367F8" w:rsidRPr="006A4E9C" w14:paraId="02F953C0" w14:textId="77777777" w:rsidTr="006367F8">
        <w:trPr>
          <w:trHeight w:val="80"/>
        </w:trPr>
        <w:tc>
          <w:tcPr>
            <w:cnfStyle w:val="001000000000" w:firstRow="0" w:lastRow="0" w:firstColumn="1" w:lastColumn="0" w:oddVBand="0" w:evenVBand="0" w:oddHBand="0" w:evenHBand="0" w:firstRowFirstColumn="0" w:firstRowLastColumn="0" w:lastRowFirstColumn="0" w:lastRowLastColumn="0"/>
            <w:tcW w:w="1226" w:type="dxa"/>
            <w:vAlign w:val="center"/>
            <w:hideMark/>
          </w:tcPr>
          <w:p w14:paraId="2014D90D" w14:textId="77777777" w:rsidR="0092791A" w:rsidRPr="003D1533" w:rsidRDefault="0092791A" w:rsidP="002E590D">
            <w:pPr>
              <w:rPr>
                <w:rFonts w:ascii="Calibri" w:eastAsia="Times New Roman" w:hAnsi="Calibri" w:cs="Times New Roman"/>
                <w:color w:val="000000"/>
                <w:sz w:val="20"/>
                <w:szCs w:val="20"/>
                <w:lang w:val="en-US" w:eastAsia="et-EE"/>
              </w:rPr>
            </w:pPr>
            <w:r w:rsidRPr="003D1533">
              <w:rPr>
                <w:rFonts w:ascii="Calibri" w:eastAsia="Times New Roman" w:hAnsi="Calibri" w:cs="Times New Roman"/>
                <w:color w:val="000000"/>
                <w:sz w:val="20"/>
                <w:szCs w:val="20"/>
                <w:lang w:val="en-US" w:eastAsia="et-EE"/>
              </w:rPr>
              <w:t>Minimum costs for single practitioner</w:t>
            </w:r>
          </w:p>
        </w:tc>
        <w:tc>
          <w:tcPr>
            <w:tcW w:w="1177" w:type="dxa"/>
            <w:noWrap/>
            <w:vAlign w:val="center"/>
            <w:hideMark/>
          </w:tcPr>
          <w:p w14:paraId="5AD78B9B" w14:textId="77777777" w:rsidR="0092791A" w:rsidRPr="003D1533" w:rsidRDefault="0092791A"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val="en-US" w:eastAsia="et-EE"/>
              </w:rPr>
            </w:pPr>
            <w:r w:rsidRPr="003D1533">
              <w:rPr>
                <w:rFonts w:ascii="Calibri" w:eastAsia="Times New Roman" w:hAnsi="Calibri" w:cs="Times New Roman"/>
                <w:color w:val="000000"/>
                <w:sz w:val="20"/>
                <w:szCs w:val="20"/>
                <w:lang w:val="en-US" w:eastAsia="et-EE"/>
              </w:rPr>
              <w:t>3 720 200</w:t>
            </w:r>
          </w:p>
        </w:tc>
        <w:tc>
          <w:tcPr>
            <w:tcW w:w="716" w:type="dxa"/>
            <w:noWrap/>
            <w:vAlign w:val="center"/>
            <w:hideMark/>
          </w:tcPr>
          <w:p w14:paraId="1A13A8E1" w14:textId="77777777" w:rsidR="0092791A" w:rsidRPr="003D1533" w:rsidRDefault="0092791A"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val="en-US" w:eastAsia="et-EE"/>
              </w:rPr>
            </w:pPr>
            <w:r w:rsidRPr="003D1533">
              <w:rPr>
                <w:rFonts w:ascii="Calibri" w:eastAsia="Times New Roman" w:hAnsi="Calibri" w:cs="Times New Roman"/>
                <w:color w:val="000000"/>
                <w:sz w:val="20"/>
                <w:szCs w:val="20"/>
                <w:lang w:val="en-US" w:eastAsia="et-EE"/>
              </w:rPr>
              <w:t>94%</w:t>
            </w:r>
          </w:p>
        </w:tc>
        <w:tc>
          <w:tcPr>
            <w:tcW w:w="1062" w:type="dxa"/>
            <w:noWrap/>
            <w:vAlign w:val="center"/>
            <w:hideMark/>
          </w:tcPr>
          <w:p w14:paraId="7F4284F8" w14:textId="77777777" w:rsidR="0092791A" w:rsidRPr="003D1533" w:rsidRDefault="0092791A"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val="en-US" w:eastAsia="et-EE"/>
              </w:rPr>
            </w:pPr>
            <w:r w:rsidRPr="003D1533">
              <w:rPr>
                <w:rFonts w:ascii="Calibri" w:eastAsia="Times New Roman" w:hAnsi="Calibri" w:cs="Times New Roman"/>
                <w:color w:val="000000"/>
                <w:sz w:val="20"/>
                <w:szCs w:val="20"/>
                <w:lang w:val="en-US" w:eastAsia="et-EE"/>
              </w:rPr>
              <w:t>46%</w:t>
            </w:r>
          </w:p>
        </w:tc>
        <w:tc>
          <w:tcPr>
            <w:tcW w:w="1157" w:type="dxa"/>
            <w:vAlign w:val="center"/>
            <w:hideMark/>
          </w:tcPr>
          <w:p w14:paraId="35F41801" w14:textId="4274C1B5" w:rsidR="0092791A" w:rsidRPr="003D1533" w:rsidRDefault="0092791A"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en-US" w:eastAsia="et-EE"/>
              </w:rPr>
            </w:pPr>
            <w:r w:rsidRPr="003D1533">
              <w:rPr>
                <w:rFonts w:ascii="Calibri" w:eastAsia="Times New Roman" w:hAnsi="Calibri" w:cs="Times New Roman"/>
                <w:b/>
                <w:bCs/>
                <w:sz w:val="20"/>
                <w:szCs w:val="20"/>
                <w:lang w:val="en-US" w:eastAsia="et-EE"/>
              </w:rPr>
              <w:t>1</w:t>
            </w:r>
            <w:r w:rsidR="00560E35">
              <w:rPr>
                <w:rFonts w:ascii="Calibri" w:eastAsia="Times New Roman" w:hAnsi="Calibri" w:cs="Times New Roman"/>
                <w:b/>
                <w:bCs/>
                <w:sz w:val="20"/>
                <w:szCs w:val="20"/>
                <w:lang w:val="en-US" w:eastAsia="et-EE"/>
              </w:rPr>
              <w:t>,</w:t>
            </w:r>
            <w:r w:rsidRPr="003D1533">
              <w:rPr>
                <w:rFonts w:ascii="Calibri" w:eastAsia="Times New Roman" w:hAnsi="Calibri" w:cs="Times New Roman"/>
                <w:b/>
                <w:bCs/>
                <w:sz w:val="20"/>
                <w:szCs w:val="20"/>
                <w:lang w:val="en-US" w:eastAsia="et-EE"/>
              </w:rPr>
              <w:t>500</w:t>
            </w:r>
          </w:p>
        </w:tc>
        <w:tc>
          <w:tcPr>
            <w:tcW w:w="884" w:type="dxa"/>
            <w:noWrap/>
            <w:vAlign w:val="center"/>
            <w:hideMark/>
          </w:tcPr>
          <w:p w14:paraId="7049A638" w14:textId="77777777" w:rsidR="0092791A" w:rsidRPr="003D1533" w:rsidRDefault="0092791A"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val="en-US" w:eastAsia="et-EE"/>
              </w:rPr>
            </w:pPr>
            <w:r w:rsidRPr="003D1533">
              <w:rPr>
                <w:rFonts w:ascii="Calibri" w:eastAsia="Times New Roman" w:hAnsi="Calibri" w:cs="Times New Roman"/>
                <w:sz w:val="20"/>
                <w:szCs w:val="20"/>
                <w:lang w:val="en-US" w:eastAsia="et-EE"/>
              </w:rPr>
              <w:t>59 884</w:t>
            </w:r>
          </w:p>
        </w:tc>
        <w:tc>
          <w:tcPr>
            <w:tcW w:w="993" w:type="dxa"/>
            <w:vAlign w:val="center"/>
          </w:tcPr>
          <w:p w14:paraId="396C408F" w14:textId="507C0A6B" w:rsidR="0092791A" w:rsidRPr="003D1533" w:rsidRDefault="0092791A"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en-US" w:eastAsia="et-EE"/>
              </w:rPr>
            </w:pPr>
            <w:r w:rsidRPr="003D1533">
              <w:rPr>
                <w:rFonts w:ascii="Calibri" w:eastAsia="Times New Roman" w:hAnsi="Calibri" w:cs="Times New Roman"/>
                <w:b/>
                <w:bCs/>
                <w:sz w:val="20"/>
                <w:szCs w:val="20"/>
                <w:lang w:val="en-US" w:eastAsia="et-EE"/>
              </w:rPr>
              <w:t>4 990</w:t>
            </w:r>
          </w:p>
        </w:tc>
        <w:tc>
          <w:tcPr>
            <w:tcW w:w="992" w:type="dxa"/>
            <w:noWrap/>
            <w:vAlign w:val="center"/>
            <w:hideMark/>
          </w:tcPr>
          <w:p w14:paraId="547A939A" w14:textId="02A9714D" w:rsidR="0092791A" w:rsidRPr="003D1533" w:rsidRDefault="0092791A"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en-US" w:eastAsia="et-EE"/>
              </w:rPr>
            </w:pPr>
            <w:r w:rsidRPr="003D1533">
              <w:rPr>
                <w:rFonts w:ascii="Calibri" w:eastAsia="Times New Roman" w:hAnsi="Calibri" w:cs="Times New Roman"/>
                <w:b/>
                <w:bCs/>
                <w:sz w:val="20"/>
                <w:szCs w:val="20"/>
                <w:lang w:val="en-US" w:eastAsia="et-EE"/>
              </w:rPr>
              <w:t>3,33</w:t>
            </w:r>
          </w:p>
        </w:tc>
        <w:tc>
          <w:tcPr>
            <w:tcW w:w="1276" w:type="dxa"/>
            <w:noWrap/>
            <w:vAlign w:val="center"/>
            <w:hideMark/>
          </w:tcPr>
          <w:p w14:paraId="4ADD03B1" w14:textId="44B9029B" w:rsidR="0092791A" w:rsidRPr="003D1533" w:rsidRDefault="0092791A"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en-US" w:eastAsia="et-EE"/>
              </w:rPr>
            </w:pPr>
            <w:r w:rsidRPr="003D1533">
              <w:rPr>
                <w:rFonts w:ascii="Calibri" w:hAnsi="Calibri" w:cs="Calibri"/>
                <w:b/>
                <w:bCs/>
                <w:sz w:val="20"/>
                <w:szCs w:val="20"/>
              </w:rPr>
              <w:t>63 963 122</w:t>
            </w:r>
          </w:p>
        </w:tc>
        <w:tc>
          <w:tcPr>
            <w:tcW w:w="759" w:type="dxa"/>
            <w:noWrap/>
            <w:vAlign w:val="center"/>
            <w:hideMark/>
          </w:tcPr>
          <w:p w14:paraId="1BE38887" w14:textId="08A5DF29" w:rsidR="0092791A" w:rsidRPr="003D1533" w:rsidRDefault="0092791A"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en-US" w:eastAsia="et-EE"/>
              </w:rPr>
            </w:pPr>
            <w:r w:rsidRPr="003D1533">
              <w:rPr>
                <w:rFonts w:ascii="Calibri" w:hAnsi="Calibri" w:cs="Calibri"/>
                <w:b/>
                <w:bCs/>
                <w:sz w:val="20"/>
                <w:szCs w:val="20"/>
              </w:rPr>
              <w:t>46%</w:t>
            </w:r>
          </w:p>
        </w:tc>
      </w:tr>
      <w:tr w:rsidR="006367F8" w:rsidRPr="006A4E9C" w14:paraId="30C052DD" w14:textId="77777777" w:rsidTr="006367F8">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226" w:type="dxa"/>
            <w:vAlign w:val="center"/>
            <w:hideMark/>
          </w:tcPr>
          <w:p w14:paraId="320EA2C6" w14:textId="77777777" w:rsidR="0092791A" w:rsidRPr="003D1533" w:rsidRDefault="0092791A" w:rsidP="002E590D">
            <w:pPr>
              <w:rPr>
                <w:rFonts w:ascii="Calibri" w:eastAsia="Times New Roman" w:hAnsi="Calibri" w:cs="Times New Roman"/>
                <w:color w:val="000000"/>
                <w:sz w:val="20"/>
                <w:szCs w:val="20"/>
                <w:lang w:val="en-US" w:eastAsia="et-EE"/>
              </w:rPr>
            </w:pPr>
            <w:r w:rsidRPr="003D1533">
              <w:rPr>
                <w:rFonts w:ascii="Calibri" w:eastAsia="Times New Roman" w:hAnsi="Calibri" w:cs="Times New Roman"/>
                <w:color w:val="000000"/>
                <w:sz w:val="20"/>
                <w:szCs w:val="20"/>
                <w:lang w:val="en-US" w:eastAsia="et-EE"/>
              </w:rPr>
              <w:t>Minimum costs for group practice</w:t>
            </w:r>
          </w:p>
        </w:tc>
        <w:tc>
          <w:tcPr>
            <w:tcW w:w="1177" w:type="dxa"/>
            <w:noWrap/>
            <w:vAlign w:val="center"/>
            <w:hideMark/>
          </w:tcPr>
          <w:p w14:paraId="76875E58" w14:textId="77777777" w:rsidR="0092791A" w:rsidRPr="003D1533" w:rsidRDefault="0092791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val="en-US" w:eastAsia="et-EE"/>
              </w:rPr>
            </w:pPr>
            <w:r w:rsidRPr="003D1533">
              <w:rPr>
                <w:rFonts w:ascii="Calibri" w:eastAsia="Times New Roman" w:hAnsi="Calibri" w:cs="Times New Roman"/>
                <w:color w:val="000000"/>
                <w:sz w:val="20"/>
                <w:szCs w:val="20"/>
                <w:lang w:val="en-US" w:eastAsia="et-EE"/>
              </w:rPr>
              <w:t>3 720 200</w:t>
            </w:r>
          </w:p>
        </w:tc>
        <w:tc>
          <w:tcPr>
            <w:tcW w:w="716" w:type="dxa"/>
            <w:noWrap/>
            <w:vAlign w:val="center"/>
            <w:hideMark/>
          </w:tcPr>
          <w:p w14:paraId="423B53B3" w14:textId="77777777" w:rsidR="0092791A" w:rsidRPr="003D1533" w:rsidRDefault="0092791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val="en-US" w:eastAsia="et-EE"/>
              </w:rPr>
            </w:pPr>
            <w:r w:rsidRPr="003D1533">
              <w:rPr>
                <w:rFonts w:ascii="Calibri" w:eastAsia="Times New Roman" w:hAnsi="Calibri" w:cs="Times New Roman"/>
                <w:color w:val="000000"/>
                <w:sz w:val="20"/>
                <w:szCs w:val="20"/>
                <w:lang w:val="en-US" w:eastAsia="et-EE"/>
              </w:rPr>
              <w:t>94%</w:t>
            </w:r>
          </w:p>
        </w:tc>
        <w:tc>
          <w:tcPr>
            <w:tcW w:w="1062" w:type="dxa"/>
            <w:noWrap/>
            <w:vAlign w:val="center"/>
            <w:hideMark/>
          </w:tcPr>
          <w:p w14:paraId="7906CC12" w14:textId="77777777" w:rsidR="0092791A" w:rsidRPr="003D1533" w:rsidRDefault="0092791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val="en-US" w:eastAsia="et-EE"/>
              </w:rPr>
            </w:pPr>
            <w:r w:rsidRPr="003D1533">
              <w:rPr>
                <w:rFonts w:ascii="Calibri" w:eastAsia="Times New Roman" w:hAnsi="Calibri" w:cs="Times New Roman"/>
                <w:color w:val="000000"/>
                <w:sz w:val="20"/>
                <w:szCs w:val="20"/>
                <w:lang w:val="en-US" w:eastAsia="et-EE"/>
              </w:rPr>
              <w:t>54%</w:t>
            </w:r>
          </w:p>
        </w:tc>
        <w:tc>
          <w:tcPr>
            <w:tcW w:w="1157" w:type="dxa"/>
            <w:vAlign w:val="center"/>
            <w:hideMark/>
          </w:tcPr>
          <w:p w14:paraId="14CFCAC6" w14:textId="14380271" w:rsidR="0092791A" w:rsidRPr="003D1533" w:rsidRDefault="0092791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en-US" w:eastAsia="et-EE"/>
              </w:rPr>
            </w:pPr>
            <w:r w:rsidRPr="003D1533">
              <w:rPr>
                <w:rFonts w:ascii="Calibri" w:eastAsia="Times New Roman" w:hAnsi="Calibri" w:cs="Times New Roman"/>
                <w:b/>
                <w:bCs/>
                <w:sz w:val="20"/>
                <w:szCs w:val="20"/>
                <w:lang w:val="en-US" w:eastAsia="et-EE"/>
              </w:rPr>
              <w:t>2</w:t>
            </w:r>
            <w:r w:rsidR="00560E35">
              <w:rPr>
                <w:rFonts w:ascii="Calibri" w:eastAsia="Times New Roman" w:hAnsi="Calibri" w:cs="Times New Roman"/>
                <w:b/>
                <w:bCs/>
                <w:sz w:val="20"/>
                <w:szCs w:val="20"/>
                <w:lang w:val="en-US" w:eastAsia="et-EE"/>
              </w:rPr>
              <w:t>,</w:t>
            </w:r>
            <w:r w:rsidRPr="003D1533">
              <w:rPr>
                <w:rFonts w:ascii="Calibri" w:eastAsia="Times New Roman" w:hAnsi="Calibri" w:cs="Times New Roman"/>
                <w:b/>
                <w:bCs/>
                <w:sz w:val="20"/>
                <w:szCs w:val="20"/>
                <w:lang w:val="en-US" w:eastAsia="et-EE"/>
              </w:rPr>
              <w:t>000</w:t>
            </w:r>
          </w:p>
        </w:tc>
        <w:tc>
          <w:tcPr>
            <w:tcW w:w="884" w:type="dxa"/>
            <w:noWrap/>
            <w:vAlign w:val="center"/>
            <w:hideMark/>
          </w:tcPr>
          <w:p w14:paraId="02A2C7B4" w14:textId="77777777" w:rsidR="0092791A" w:rsidRPr="003D1533" w:rsidRDefault="0092791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val="en-US" w:eastAsia="et-EE"/>
              </w:rPr>
            </w:pPr>
            <w:r w:rsidRPr="003D1533">
              <w:rPr>
                <w:rFonts w:ascii="Calibri" w:eastAsia="Times New Roman" w:hAnsi="Calibri" w:cs="Times New Roman"/>
                <w:sz w:val="20"/>
                <w:szCs w:val="20"/>
                <w:lang w:val="en-US" w:eastAsia="et-EE"/>
              </w:rPr>
              <w:t>265 321</w:t>
            </w:r>
          </w:p>
        </w:tc>
        <w:tc>
          <w:tcPr>
            <w:tcW w:w="993" w:type="dxa"/>
            <w:vAlign w:val="center"/>
          </w:tcPr>
          <w:p w14:paraId="37134B50" w14:textId="77777777" w:rsidR="0092791A" w:rsidRPr="003D1533" w:rsidRDefault="0092791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en-US" w:eastAsia="et-EE"/>
              </w:rPr>
            </w:pPr>
          </w:p>
        </w:tc>
        <w:tc>
          <w:tcPr>
            <w:tcW w:w="992" w:type="dxa"/>
            <w:noWrap/>
            <w:vAlign w:val="center"/>
            <w:hideMark/>
          </w:tcPr>
          <w:p w14:paraId="39D3F997" w14:textId="2056A561" w:rsidR="0092791A" w:rsidRPr="003D1533" w:rsidRDefault="0092791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en-US" w:eastAsia="et-EE"/>
              </w:rPr>
            </w:pPr>
            <w:r w:rsidRPr="003D1533">
              <w:rPr>
                <w:rFonts w:ascii="Calibri" w:eastAsia="Times New Roman" w:hAnsi="Calibri" w:cs="Times New Roman"/>
                <w:b/>
                <w:bCs/>
                <w:sz w:val="20"/>
                <w:szCs w:val="20"/>
                <w:lang w:val="en-US" w:eastAsia="et-EE"/>
              </w:rPr>
              <w:t>2,21</w:t>
            </w:r>
          </w:p>
        </w:tc>
        <w:tc>
          <w:tcPr>
            <w:tcW w:w="1276" w:type="dxa"/>
            <w:noWrap/>
            <w:vAlign w:val="center"/>
            <w:hideMark/>
          </w:tcPr>
          <w:p w14:paraId="6836AAAA" w14:textId="5E6EDC1E" w:rsidR="0092791A" w:rsidRPr="003D1533" w:rsidRDefault="0092791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en-US" w:eastAsia="et-EE"/>
              </w:rPr>
            </w:pPr>
            <w:r w:rsidRPr="003D1533">
              <w:rPr>
                <w:rFonts w:ascii="Calibri" w:hAnsi="Calibri" w:cs="Calibri"/>
                <w:b/>
                <w:bCs/>
                <w:sz w:val="20"/>
                <w:szCs w:val="20"/>
              </w:rPr>
              <w:t>50 178 686</w:t>
            </w:r>
          </w:p>
        </w:tc>
        <w:tc>
          <w:tcPr>
            <w:tcW w:w="759" w:type="dxa"/>
            <w:noWrap/>
            <w:vAlign w:val="center"/>
            <w:hideMark/>
          </w:tcPr>
          <w:p w14:paraId="143E2FE6" w14:textId="5DFF5BE4" w:rsidR="0092791A" w:rsidRPr="003D1533" w:rsidRDefault="0092791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en-US" w:eastAsia="et-EE"/>
              </w:rPr>
            </w:pPr>
            <w:r w:rsidRPr="003D1533">
              <w:rPr>
                <w:rFonts w:ascii="Calibri" w:hAnsi="Calibri" w:cs="Calibri"/>
                <w:b/>
                <w:bCs/>
                <w:sz w:val="20"/>
                <w:szCs w:val="20"/>
              </w:rPr>
              <w:t>36%</w:t>
            </w:r>
          </w:p>
        </w:tc>
      </w:tr>
      <w:tr w:rsidR="00681EA9" w:rsidRPr="006A4E9C" w14:paraId="59575C02" w14:textId="77777777" w:rsidTr="006367F8">
        <w:trPr>
          <w:trHeight w:val="80"/>
        </w:trPr>
        <w:tc>
          <w:tcPr>
            <w:cnfStyle w:val="001000000000" w:firstRow="0" w:lastRow="0" w:firstColumn="1" w:lastColumn="0" w:oddVBand="0" w:evenVBand="0" w:oddHBand="0" w:evenHBand="0" w:firstRowFirstColumn="0" w:firstRowLastColumn="0" w:lastRowFirstColumn="0" w:lastRowLastColumn="0"/>
            <w:tcW w:w="1226" w:type="dxa"/>
            <w:vAlign w:val="center"/>
            <w:hideMark/>
          </w:tcPr>
          <w:p w14:paraId="5D37A6A0" w14:textId="77777777" w:rsidR="0092791A" w:rsidRPr="003D1533" w:rsidRDefault="0092791A" w:rsidP="002E590D">
            <w:pPr>
              <w:rPr>
                <w:rFonts w:ascii="Calibri" w:eastAsia="Times New Roman" w:hAnsi="Calibri" w:cs="Times New Roman"/>
                <w:color w:val="000000"/>
                <w:sz w:val="20"/>
                <w:szCs w:val="20"/>
                <w:lang w:val="en-US" w:eastAsia="et-EE"/>
              </w:rPr>
            </w:pPr>
            <w:r w:rsidRPr="003D1533">
              <w:rPr>
                <w:rFonts w:ascii="Calibri" w:eastAsia="Times New Roman" w:hAnsi="Calibri" w:cs="Times New Roman"/>
                <w:color w:val="000000"/>
                <w:sz w:val="20"/>
                <w:szCs w:val="20"/>
                <w:lang w:val="en-US" w:eastAsia="et-EE"/>
              </w:rPr>
              <w:t>Laboratory tests</w:t>
            </w:r>
          </w:p>
        </w:tc>
        <w:tc>
          <w:tcPr>
            <w:tcW w:w="1177" w:type="dxa"/>
            <w:noWrap/>
            <w:vAlign w:val="center"/>
            <w:hideMark/>
          </w:tcPr>
          <w:p w14:paraId="3B0026C3" w14:textId="77777777" w:rsidR="0092791A" w:rsidRPr="003D1533" w:rsidRDefault="0092791A"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val="en-US" w:eastAsia="et-EE"/>
              </w:rPr>
            </w:pPr>
            <w:r w:rsidRPr="003D1533">
              <w:rPr>
                <w:rFonts w:ascii="Calibri" w:eastAsia="Times New Roman" w:hAnsi="Calibri" w:cs="Times New Roman"/>
                <w:color w:val="000000"/>
                <w:sz w:val="20"/>
                <w:szCs w:val="20"/>
                <w:lang w:val="en-US" w:eastAsia="et-EE"/>
              </w:rPr>
              <w:t>3 720 200</w:t>
            </w:r>
          </w:p>
        </w:tc>
        <w:tc>
          <w:tcPr>
            <w:tcW w:w="716" w:type="dxa"/>
            <w:noWrap/>
            <w:vAlign w:val="center"/>
            <w:hideMark/>
          </w:tcPr>
          <w:p w14:paraId="0FDBCA21" w14:textId="77777777" w:rsidR="0092791A" w:rsidRPr="003D1533" w:rsidRDefault="0092791A"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val="en-US" w:eastAsia="et-EE"/>
              </w:rPr>
            </w:pPr>
            <w:r w:rsidRPr="003D1533">
              <w:rPr>
                <w:rFonts w:ascii="Calibri" w:eastAsia="Times New Roman" w:hAnsi="Calibri" w:cs="Times New Roman"/>
                <w:color w:val="000000"/>
                <w:sz w:val="20"/>
                <w:szCs w:val="20"/>
                <w:lang w:val="en-US" w:eastAsia="et-EE"/>
              </w:rPr>
              <w:t>94%</w:t>
            </w:r>
          </w:p>
        </w:tc>
        <w:tc>
          <w:tcPr>
            <w:tcW w:w="1062" w:type="dxa"/>
            <w:noWrap/>
            <w:vAlign w:val="center"/>
            <w:hideMark/>
          </w:tcPr>
          <w:p w14:paraId="7DE60BCE" w14:textId="77777777" w:rsidR="0092791A" w:rsidRPr="003D1533" w:rsidRDefault="0092791A"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val="en-US" w:eastAsia="et-EE"/>
              </w:rPr>
            </w:pPr>
            <w:r w:rsidRPr="003D1533">
              <w:rPr>
                <w:rFonts w:ascii="Calibri" w:eastAsia="Times New Roman" w:hAnsi="Calibri" w:cs="Times New Roman"/>
                <w:color w:val="000000"/>
                <w:sz w:val="20"/>
                <w:szCs w:val="20"/>
                <w:lang w:val="en-US" w:eastAsia="et-EE"/>
              </w:rPr>
              <w:t> </w:t>
            </w:r>
          </w:p>
        </w:tc>
        <w:tc>
          <w:tcPr>
            <w:tcW w:w="1157" w:type="dxa"/>
            <w:noWrap/>
            <w:vAlign w:val="center"/>
            <w:hideMark/>
          </w:tcPr>
          <w:p w14:paraId="7D5FEA66" w14:textId="77777777" w:rsidR="0092791A" w:rsidRPr="003D1533" w:rsidRDefault="0092791A" w:rsidP="002E5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val="en-US" w:eastAsia="et-EE"/>
              </w:rPr>
            </w:pPr>
            <w:r w:rsidRPr="003D1533">
              <w:rPr>
                <w:rFonts w:ascii="Calibri" w:eastAsia="Times New Roman" w:hAnsi="Calibri" w:cs="Times New Roman"/>
                <w:color w:val="000000"/>
                <w:sz w:val="20"/>
                <w:szCs w:val="20"/>
                <w:lang w:val="en-US" w:eastAsia="et-EE"/>
              </w:rPr>
              <w:t> </w:t>
            </w:r>
          </w:p>
        </w:tc>
        <w:tc>
          <w:tcPr>
            <w:tcW w:w="884" w:type="dxa"/>
            <w:noWrap/>
            <w:vAlign w:val="center"/>
            <w:hideMark/>
          </w:tcPr>
          <w:p w14:paraId="63B041F7" w14:textId="77777777" w:rsidR="0092791A" w:rsidRPr="003D1533" w:rsidRDefault="0092791A"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val="en-US" w:eastAsia="et-EE"/>
              </w:rPr>
            </w:pPr>
            <w:r w:rsidRPr="003D1533">
              <w:rPr>
                <w:rFonts w:ascii="Calibri" w:eastAsia="Times New Roman" w:hAnsi="Calibri" w:cs="Times New Roman"/>
                <w:color w:val="000000"/>
                <w:sz w:val="20"/>
                <w:szCs w:val="20"/>
                <w:lang w:val="en-US" w:eastAsia="et-EE"/>
              </w:rPr>
              <w:t> </w:t>
            </w:r>
          </w:p>
        </w:tc>
        <w:tc>
          <w:tcPr>
            <w:tcW w:w="993" w:type="dxa"/>
            <w:vAlign w:val="center"/>
          </w:tcPr>
          <w:p w14:paraId="42ED90DB" w14:textId="77777777" w:rsidR="0092791A" w:rsidRPr="003D1533" w:rsidRDefault="0092791A"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en-US" w:eastAsia="et-EE"/>
              </w:rPr>
            </w:pPr>
          </w:p>
        </w:tc>
        <w:tc>
          <w:tcPr>
            <w:tcW w:w="992" w:type="dxa"/>
            <w:noWrap/>
            <w:vAlign w:val="center"/>
            <w:hideMark/>
          </w:tcPr>
          <w:p w14:paraId="7BDF84C2" w14:textId="3DD8D844" w:rsidR="0092791A" w:rsidRPr="003D1533" w:rsidRDefault="0092791A"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en-US" w:eastAsia="et-EE"/>
              </w:rPr>
            </w:pPr>
            <w:r w:rsidRPr="003D1533">
              <w:rPr>
                <w:rFonts w:ascii="Calibri" w:eastAsia="Times New Roman" w:hAnsi="Calibri" w:cs="Times New Roman"/>
                <w:b/>
                <w:bCs/>
                <w:sz w:val="20"/>
                <w:szCs w:val="20"/>
                <w:lang w:val="en-US" w:eastAsia="et-EE"/>
              </w:rPr>
              <w:t>0,57</w:t>
            </w:r>
          </w:p>
        </w:tc>
        <w:tc>
          <w:tcPr>
            <w:tcW w:w="1276" w:type="dxa"/>
            <w:noWrap/>
            <w:vAlign w:val="center"/>
            <w:hideMark/>
          </w:tcPr>
          <w:p w14:paraId="781FD4C9" w14:textId="77777777" w:rsidR="0092791A" w:rsidRPr="003D1533" w:rsidRDefault="0092791A"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color w:val="000000"/>
                <w:sz w:val="20"/>
                <w:szCs w:val="20"/>
                <w:lang w:val="en-US" w:eastAsia="et-EE"/>
              </w:rPr>
            </w:pPr>
            <w:r w:rsidRPr="003D1533">
              <w:rPr>
                <w:rFonts w:ascii="Calibri" w:eastAsia="Times New Roman" w:hAnsi="Calibri" w:cs="Times New Roman"/>
                <w:b/>
                <w:bCs/>
                <w:color w:val="000000"/>
                <w:sz w:val="20"/>
                <w:szCs w:val="20"/>
                <w:lang w:val="en-US" w:eastAsia="et-EE"/>
              </w:rPr>
              <w:t>23 727 227</w:t>
            </w:r>
          </w:p>
        </w:tc>
        <w:tc>
          <w:tcPr>
            <w:tcW w:w="759" w:type="dxa"/>
            <w:noWrap/>
            <w:vAlign w:val="center"/>
            <w:hideMark/>
          </w:tcPr>
          <w:p w14:paraId="78330BC4" w14:textId="77777777" w:rsidR="0092791A" w:rsidRPr="003D1533" w:rsidRDefault="0092791A"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val="en-US" w:eastAsia="et-EE"/>
              </w:rPr>
            </w:pPr>
            <w:r w:rsidRPr="003D1533">
              <w:rPr>
                <w:rFonts w:ascii="Calibri" w:eastAsia="Times New Roman" w:hAnsi="Calibri" w:cs="Times New Roman"/>
                <w:b/>
                <w:bCs/>
                <w:sz w:val="20"/>
                <w:szCs w:val="20"/>
                <w:lang w:val="en-US" w:eastAsia="et-EE"/>
              </w:rPr>
              <w:t>17%</w:t>
            </w:r>
          </w:p>
        </w:tc>
      </w:tr>
      <w:tr w:rsidR="006367F8" w:rsidRPr="006A4E9C" w14:paraId="0F0ABF1C" w14:textId="77777777" w:rsidTr="006367F8">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1226" w:type="dxa"/>
            <w:vAlign w:val="center"/>
            <w:hideMark/>
          </w:tcPr>
          <w:p w14:paraId="077191AC" w14:textId="77777777" w:rsidR="0092791A" w:rsidRPr="003D1533" w:rsidRDefault="0092791A" w:rsidP="002E590D">
            <w:pPr>
              <w:rPr>
                <w:rFonts w:ascii="Calibri" w:eastAsia="Times New Roman" w:hAnsi="Calibri" w:cs="Times New Roman"/>
                <w:color w:val="000000"/>
                <w:sz w:val="20"/>
                <w:szCs w:val="20"/>
                <w:lang w:val="en-US" w:eastAsia="et-EE"/>
              </w:rPr>
            </w:pPr>
            <w:r w:rsidRPr="003D1533">
              <w:rPr>
                <w:rFonts w:ascii="Calibri" w:eastAsia="Times New Roman" w:hAnsi="Calibri" w:cs="Times New Roman"/>
                <w:color w:val="000000"/>
                <w:sz w:val="20"/>
                <w:szCs w:val="20"/>
                <w:lang w:val="en-US" w:eastAsia="et-EE"/>
              </w:rPr>
              <w:t>Total</w:t>
            </w:r>
          </w:p>
        </w:tc>
        <w:tc>
          <w:tcPr>
            <w:tcW w:w="1177" w:type="dxa"/>
            <w:noWrap/>
            <w:vAlign w:val="center"/>
            <w:hideMark/>
          </w:tcPr>
          <w:p w14:paraId="2AEE17E7" w14:textId="77777777" w:rsidR="0092791A" w:rsidRPr="003D1533" w:rsidRDefault="0092791A" w:rsidP="002E59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val="en-US" w:eastAsia="et-EE"/>
              </w:rPr>
            </w:pPr>
            <w:r w:rsidRPr="003D1533">
              <w:rPr>
                <w:rFonts w:ascii="Calibri" w:eastAsia="Times New Roman" w:hAnsi="Calibri" w:cs="Times New Roman"/>
                <w:b/>
                <w:bCs/>
                <w:color w:val="000000"/>
                <w:sz w:val="20"/>
                <w:szCs w:val="20"/>
                <w:lang w:val="en-US" w:eastAsia="et-EE"/>
              </w:rPr>
              <w:t> </w:t>
            </w:r>
          </w:p>
        </w:tc>
        <w:tc>
          <w:tcPr>
            <w:tcW w:w="716" w:type="dxa"/>
            <w:noWrap/>
            <w:vAlign w:val="center"/>
            <w:hideMark/>
          </w:tcPr>
          <w:p w14:paraId="0B17B709" w14:textId="77777777" w:rsidR="0092791A" w:rsidRPr="003D1533" w:rsidRDefault="0092791A" w:rsidP="002E59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val="en-US" w:eastAsia="et-EE"/>
              </w:rPr>
            </w:pPr>
            <w:r w:rsidRPr="003D1533">
              <w:rPr>
                <w:rFonts w:ascii="Calibri" w:eastAsia="Times New Roman" w:hAnsi="Calibri" w:cs="Times New Roman"/>
                <w:b/>
                <w:bCs/>
                <w:color w:val="000000"/>
                <w:sz w:val="20"/>
                <w:szCs w:val="20"/>
                <w:lang w:val="en-US" w:eastAsia="et-EE"/>
              </w:rPr>
              <w:t> </w:t>
            </w:r>
          </w:p>
        </w:tc>
        <w:tc>
          <w:tcPr>
            <w:tcW w:w="1062" w:type="dxa"/>
            <w:noWrap/>
            <w:vAlign w:val="center"/>
            <w:hideMark/>
          </w:tcPr>
          <w:p w14:paraId="27D59E00" w14:textId="77777777" w:rsidR="0092791A" w:rsidRPr="003D1533" w:rsidRDefault="0092791A" w:rsidP="002E59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val="en-US" w:eastAsia="et-EE"/>
              </w:rPr>
            </w:pPr>
            <w:r w:rsidRPr="003D1533">
              <w:rPr>
                <w:rFonts w:ascii="Calibri" w:eastAsia="Times New Roman" w:hAnsi="Calibri" w:cs="Times New Roman"/>
                <w:b/>
                <w:bCs/>
                <w:color w:val="000000"/>
                <w:sz w:val="20"/>
                <w:szCs w:val="20"/>
                <w:lang w:val="en-US" w:eastAsia="et-EE"/>
              </w:rPr>
              <w:t> </w:t>
            </w:r>
          </w:p>
        </w:tc>
        <w:tc>
          <w:tcPr>
            <w:tcW w:w="1157" w:type="dxa"/>
            <w:noWrap/>
            <w:vAlign w:val="center"/>
            <w:hideMark/>
          </w:tcPr>
          <w:p w14:paraId="491B35A6" w14:textId="77777777" w:rsidR="0092791A" w:rsidRPr="003D1533" w:rsidRDefault="0092791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en-US" w:eastAsia="et-EE"/>
              </w:rPr>
            </w:pPr>
            <w:r w:rsidRPr="003D1533">
              <w:rPr>
                <w:rFonts w:ascii="Calibri" w:eastAsia="Times New Roman" w:hAnsi="Calibri" w:cs="Times New Roman"/>
                <w:b/>
                <w:bCs/>
                <w:sz w:val="20"/>
                <w:szCs w:val="20"/>
                <w:lang w:val="en-US" w:eastAsia="et-EE"/>
              </w:rPr>
              <w:t> </w:t>
            </w:r>
          </w:p>
        </w:tc>
        <w:tc>
          <w:tcPr>
            <w:tcW w:w="884" w:type="dxa"/>
            <w:noWrap/>
            <w:vAlign w:val="center"/>
            <w:hideMark/>
          </w:tcPr>
          <w:p w14:paraId="33E5FE5E" w14:textId="77777777" w:rsidR="0092791A" w:rsidRPr="003D1533" w:rsidRDefault="0092791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en-US" w:eastAsia="et-EE"/>
              </w:rPr>
            </w:pPr>
            <w:r w:rsidRPr="003D1533">
              <w:rPr>
                <w:rFonts w:ascii="Calibri" w:eastAsia="Times New Roman" w:hAnsi="Calibri" w:cs="Times New Roman"/>
                <w:b/>
                <w:bCs/>
                <w:sz w:val="20"/>
                <w:szCs w:val="20"/>
                <w:lang w:val="en-US" w:eastAsia="et-EE"/>
              </w:rPr>
              <w:t> </w:t>
            </w:r>
          </w:p>
        </w:tc>
        <w:tc>
          <w:tcPr>
            <w:tcW w:w="993" w:type="dxa"/>
            <w:vAlign w:val="center"/>
          </w:tcPr>
          <w:p w14:paraId="64A27EA8" w14:textId="77777777" w:rsidR="0092791A" w:rsidRPr="003D1533" w:rsidRDefault="0092791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en-US" w:eastAsia="et-EE"/>
              </w:rPr>
            </w:pPr>
          </w:p>
        </w:tc>
        <w:tc>
          <w:tcPr>
            <w:tcW w:w="992" w:type="dxa"/>
            <w:noWrap/>
            <w:vAlign w:val="center"/>
            <w:hideMark/>
          </w:tcPr>
          <w:p w14:paraId="195C268E" w14:textId="454E370B" w:rsidR="0092791A" w:rsidRPr="003D1533" w:rsidRDefault="0092791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en-US" w:eastAsia="et-EE"/>
              </w:rPr>
            </w:pPr>
            <w:r w:rsidRPr="003D1533">
              <w:rPr>
                <w:rFonts w:ascii="Calibri" w:eastAsia="Times New Roman" w:hAnsi="Calibri" w:cs="Times New Roman"/>
                <w:b/>
                <w:bCs/>
                <w:sz w:val="20"/>
                <w:szCs w:val="20"/>
                <w:lang w:val="en-US" w:eastAsia="et-EE"/>
              </w:rPr>
              <w:t> </w:t>
            </w:r>
          </w:p>
        </w:tc>
        <w:tc>
          <w:tcPr>
            <w:tcW w:w="1276" w:type="dxa"/>
            <w:noWrap/>
            <w:vAlign w:val="center"/>
            <w:hideMark/>
          </w:tcPr>
          <w:p w14:paraId="4F30840B" w14:textId="77777777" w:rsidR="0092791A" w:rsidRPr="003D1533" w:rsidRDefault="0092791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val="en-US" w:eastAsia="et-EE"/>
              </w:rPr>
            </w:pPr>
            <w:r w:rsidRPr="003D1533">
              <w:rPr>
                <w:rFonts w:ascii="Calibri" w:eastAsia="Times New Roman" w:hAnsi="Calibri" w:cs="Times New Roman"/>
                <w:b/>
                <w:bCs/>
                <w:sz w:val="20"/>
                <w:szCs w:val="20"/>
                <w:lang w:val="en-US" w:eastAsia="et-EE"/>
              </w:rPr>
              <w:t>137 869 035</w:t>
            </w:r>
          </w:p>
        </w:tc>
        <w:tc>
          <w:tcPr>
            <w:tcW w:w="759" w:type="dxa"/>
            <w:noWrap/>
            <w:vAlign w:val="center"/>
            <w:hideMark/>
          </w:tcPr>
          <w:p w14:paraId="134667DA" w14:textId="77777777" w:rsidR="0092791A" w:rsidRPr="003D1533" w:rsidRDefault="0092791A" w:rsidP="002E59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val="en-US" w:eastAsia="et-EE"/>
              </w:rPr>
            </w:pPr>
            <w:r w:rsidRPr="003D1533">
              <w:rPr>
                <w:rFonts w:ascii="Calibri" w:eastAsia="Times New Roman" w:hAnsi="Calibri" w:cs="Times New Roman"/>
                <w:color w:val="000000"/>
                <w:sz w:val="20"/>
                <w:szCs w:val="20"/>
                <w:lang w:val="en-US" w:eastAsia="et-EE"/>
              </w:rPr>
              <w:t> </w:t>
            </w:r>
          </w:p>
        </w:tc>
      </w:tr>
    </w:tbl>
    <w:p w14:paraId="1EEC01D4" w14:textId="77777777" w:rsidR="006F31A1" w:rsidRDefault="006F31A1" w:rsidP="002E590D">
      <w:pPr>
        <w:spacing w:after="0" w:line="240" w:lineRule="auto"/>
        <w:jc w:val="both"/>
        <w:rPr>
          <w:lang w:val="en-GB"/>
        </w:rPr>
      </w:pPr>
    </w:p>
    <w:p w14:paraId="45FACE2E" w14:textId="65C3ACF9" w:rsidR="7C413FB7" w:rsidRDefault="006F31A1" w:rsidP="002E590D">
      <w:pPr>
        <w:spacing w:after="0" w:line="240" w:lineRule="auto"/>
        <w:jc w:val="both"/>
        <w:rPr>
          <w:lang w:val="en-GB"/>
        </w:rPr>
      </w:pPr>
      <w:r>
        <w:rPr>
          <w:lang w:val="en-GB"/>
        </w:rPr>
        <w:t xml:space="preserve">The </w:t>
      </w:r>
      <w:r w:rsidRPr="006F31A1">
        <w:rPr>
          <w:lang w:val="en-GB"/>
        </w:rPr>
        <w:t>f</w:t>
      </w:r>
      <w:r w:rsidR="7C413FB7" w:rsidRPr="006F31A1">
        <w:rPr>
          <w:lang w:val="en-GB"/>
        </w:rPr>
        <w:t>igure</w:t>
      </w:r>
      <w:r w:rsidR="00D85CBC">
        <w:rPr>
          <w:lang w:val="en-GB"/>
        </w:rPr>
        <w:t xml:space="preserve"> 3</w:t>
      </w:r>
      <w:r w:rsidR="7C413FB7" w:rsidRPr="006F31A1">
        <w:rPr>
          <w:lang w:val="en-GB"/>
        </w:rPr>
        <w:t xml:space="preserve"> describes the share of different cost components in</w:t>
      </w:r>
      <w:r w:rsidR="215BCF03" w:rsidRPr="006F31A1">
        <w:rPr>
          <w:lang w:val="en-GB"/>
        </w:rPr>
        <w:t xml:space="preserve"> the capitation</w:t>
      </w:r>
      <w:r>
        <w:rPr>
          <w:lang w:val="en-GB"/>
        </w:rPr>
        <w:t xml:space="preserve"> for a single practitioner and group practice.</w:t>
      </w:r>
      <w:r w:rsidR="006D45C2">
        <w:rPr>
          <w:lang w:val="en-GB"/>
        </w:rPr>
        <w:t xml:space="preserve"> </w:t>
      </w:r>
    </w:p>
    <w:p w14:paraId="09DE2697" w14:textId="77777777" w:rsidR="00D85CBC" w:rsidRPr="006F31A1" w:rsidRDefault="00D85CBC" w:rsidP="002E590D">
      <w:pPr>
        <w:spacing w:after="0" w:line="240" w:lineRule="auto"/>
        <w:jc w:val="both"/>
        <w:rPr>
          <w:lang w:val="en-GB"/>
        </w:rPr>
      </w:pPr>
    </w:p>
    <w:p w14:paraId="6B6F6BD5" w14:textId="67C7B6B1" w:rsidR="00F54210" w:rsidRPr="001B7CAA" w:rsidRDefault="00F54210" w:rsidP="00844499">
      <w:pPr>
        <w:spacing w:after="0" w:line="240" w:lineRule="auto"/>
        <w:rPr>
          <w:lang w:val="en-GB"/>
        </w:rPr>
      </w:pPr>
      <w:r>
        <w:rPr>
          <w:noProof/>
          <w:lang w:val="en-US"/>
        </w:rPr>
        <w:drawing>
          <wp:inline distT="0" distB="0" distL="0" distR="0" wp14:anchorId="1D522D02" wp14:editId="79D6EEE2">
            <wp:extent cx="2792095" cy="2961249"/>
            <wp:effectExtent l="0" t="0" r="8255" b="10795"/>
            <wp:docPr id="9" name="Diagramm 9">
              <a:extLst xmlns:a="http://schemas.openxmlformats.org/drawingml/2006/main">
                <a:ext uri="{FF2B5EF4-FFF2-40B4-BE49-F238E27FC236}">
                  <a16:creationId xmlns:a16="http://schemas.microsoft.com/office/drawing/2014/main" id="{FE41308F-A352-4F61-A0C3-8B87A50C837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1B7CAA">
        <w:rPr>
          <w:noProof/>
          <w:lang w:val="en-US"/>
        </w:rPr>
        <w:drawing>
          <wp:inline distT="0" distB="0" distL="0" distR="0" wp14:anchorId="2D79B168" wp14:editId="5F764088">
            <wp:extent cx="2841625" cy="2974536"/>
            <wp:effectExtent l="0" t="0" r="15875" b="16510"/>
            <wp:docPr id="10" name="Diagramm 10">
              <a:extLst xmlns:a="http://schemas.openxmlformats.org/drawingml/2006/main">
                <a:ext uri="{FF2B5EF4-FFF2-40B4-BE49-F238E27FC236}">
                  <a16:creationId xmlns:a16="http://schemas.microsoft.com/office/drawing/2014/main" id="{867B0B1D-C80D-41D4-A489-83611CB2DF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45692FEF" w14:textId="4A27062D" w:rsidR="00D85CBC" w:rsidRPr="00844499" w:rsidRDefault="00D85CBC" w:rsidP="00D85CBC">
      <w:pPr>
        <w:spacing w:after="0" w:line="240" w:lineRule="auto"/>
        <w:rPr>
          <w:b/>
          <w:bCs/>
          <w:lang w:val="en-GB"/>
        </w:rPr>
      </w:pPr>
      <w:r w:rsidRPr="001B7CAA">
        <w:rPr>
          <w:b/>
          <w:bCs/>
          <w:lang w:val="en-GB"/>
        </w:rPr>
        <w:t xml:space="preserve">Figure </w:t>
      </w:r>
      <w:r w:rsidR="00844499" w:rsidRPr="001B7CAA">
        <w:rPr>
          <w:b/>
          <w:bCs/>
          <w:lang w:val="en-GB"/>
        </w:rPr>
        <w:t xml:space="preserve">3. </w:t>
      </w:r>
      <w:r w:rsidR="00844499" w:rsidRPr="001B7CAA">
        <w:rPr>
          <w:lang w:val="en-GB"/>
        </w:rPr>
        <w:t xml:space="preserve">Share of different cost components in the capitation for a single practitioner and group </w:t>
      </w:r>
      <w:r w:rsidR="00844499" w:rsidRPr="00844499">
        <w:rPr>
          <w:lang w:val="en-GB"/>
        </w:rPr>
        <w:t>practice</w:t>
      </w:r>
    </w:p>
    <w:p w14:paraId="306FB1B7" w14:textId="77777777" w:rsidR="00844499" w:rsidRPr="00D85CBC" w:rsidRDefault="00844499" w:rsidP="00D85CBC">
      <w:pPr>
        <w:spacing w:after="0" w:line="240" w:lineRule="auto"/>
        <w:rPr>
          <w:lang w:val="en-GB"/>
        </w:rPr>
      </w:pPr>
    </w:p>
    <w:p w14:paraId="4C546FAD" w14:textId="4185C536" w:rsidR="27D2215C" w:rsidRDefault="004F7745" w:rsidP="002E590D">
      <w:pPr>
        <w:spacing w:after="0" w:line="240" w:lineRule="auto"/>
        <w:jc w:val="both"/>
        <w:rPr>
          <w:lang w:val="en-GB"/>
        </w:rPr>
      </w:pPr>
      <w:r>
        <w:rPr>
          <w:lang w:val="en-GB"/>
        </w:rPr>
        <w:t>According to expert opinion, the premises related costs are higher for group practices because the costs for different utilities rise in urban area. The cost structure difference is also influenced by the defined minimum patient list, which is 1</w:t>
      </w:r>
      <w:r w:rsidR="006D45C2">
        <w:rPr>
          <w:lang w:val="en-GB"/>
        </w:rPr>
        <w:t xml:space="preserve"> </w:t>
      </w:r>
      <w:r>
        <w:rPr>
          <w:lang w:val="en-GB"/>
        </w:rPr>
        <w:t>500 for rural and 2</w:t>
      </w:r>
      <w:r w:rsidR="006D45C2">
        <w:rPr>
          <w:lang w:val="en-GB"/>
        </w:rPr>
        <w:t xml:space="preserve"> </w:t>
      </w:r>
      <w:r>
        <w:rPr>
          <w:lang w:val="en-GB"/>
        </w:rPr>
        <w:t>000 for urban.  This influences mostly the share of costs for laboratory tests, but also workforce, premised and medical equipment related costs</w:t>
      </w:r>
    </w:p>
    <w:p w14:paraId="43EB7DBC" w14:textId="77777777" w:rsidR="006D45C2" w:rsidRPr="006367F8" w:rsidRDefault="006D45C2" w:rsidP="002E590D">
      <w:pPr>
        <w:spacing w:after="0" w:line="240" w:lineRule="auto"/>
        <w:jc w:val="both"/>
        <w:rPr>
          <w:lang w:val="en-GB"/>
        </w:rPr>
      </w:pPr>
    </w:p>
    <w:p w14:paraId="7171CA1D" w14:textId="0A4DE1A2" w:rsidR="5DDF0E3A" w:rsidRPr="006367F8" w:rsidRDefault="00D73C9D" w:rsidP="002E590D">
      <w:pPr>
        <w:pStyle w:val="Heading2"/>
        <w:spacing w:before="0" w:line="240" w:lineRule="auto"/>
        <w:ind w:firstLine="708"/>
        <w:rPr>
          <w:b/>
          <w:bCs/>
          <w:i/>
          <w:iCs/>
          <w:color w:val="auto"/>
          <w:lang w:val="en-GB"/>
        </w:rPr>
      </w:pPr>
      <w:bookmarkStart w:id="13" w:name="_Toc62149253"/>
      <w:r w:rsidRPr="006367F8">
        <w:rPr>
          <w:b/>
          <w:bCs/>
          <w:i/>
          <w:iCs/>
          <w:color w:val="auto"/>
          <w:lang w:val="en-GB"/>
        </w:rPr>
        <w:lastRenderedPageBreak/>
        <w:t xml:space="preserve">4.6 </w:t>
      </w:r>
      <w:r w:rsidR="0987F7F6" w:rsidRPr="006367F8">
        <w:rPr>
          <w:b/>
          <w:bCs/>
          <w:i/>
          <w:iCs/>
          <w:color w:val="auto"/>
          <w:lang w:val="en-GB"/>
        </w:rPr>
        <w:t>F</w:t>
      </w:r>
      <w:r w:rsidR="4026C142" w:rsidRPr="006367F8">
        <w:rPr>
          <w:b/>
          <w:bCs/>
          <w:i/>
          <w:iCs/>
          <w:color w:val="auto"/>
          <w:lang w:val="en-GB"/>
        </w:rPr>
        <w:t>acilities</w:t>
      </w:r>
      <w:r w:rsidR="48217E5A" w:rsidRPr="006367F8">
        <w:rPr>
          <w:b/>
          <w:bCs/>
          <w:i/>
          <w:iCs/>
          <w:color w:val="auto"/>
          <w:lang w:val="en-GB"/>
        </w:rPr>
        <w:t xml:space="preserve"> allowance</w:t>
      </w:r>
      <w:r w:rsidR="4026C142" w:rsidRPr="006367F8">
        <w:rPr>
          <w:b/>
          <w:bCs/>
          <w:i/>
          <w:iCs/>
          <w:color w:val="auto"/>
          <w:lang w:val="en-GB"/>
        </w:rPr>
        <w:t xml:space="preserve"> </w:t>
      </w:r>
      <w:r w:rsidR="5DDF0E3A" w:rsidRPr="006367F8">
        <w:rPr>
          <w:b/>
          <w:bCs/>
          <w:i/>
          <w:iCs/>
          <w:color w:val="auto"/>
          <w:lang w:val="en-GB"/>
        </w:rPr>
        <w:t>and capitalization</w:t>
      </w:r>
      <w:bookmarkEnd w:id="13"/>
    </w:p>
    <w:p w14:paraId="314F44C5" w14:textId="45D394ED" w:rsidR="5DDF0E3A" w:rsidRPr="005053C3" w:rsidRDefault="5DDF0E3A" w:rsidP="002E590D">
      <w:pPr>
        <w:spacing w:after="0" w:line="240" w:lineRule="auto"/>
        <w:jc w:val="both"/>
        <w:rPr>
          <w:lang w:val="en-GB"/>
        </w:rPr>
      </w:pPr>
      <w:r w:rsidRPr="006367F8">
        <w:rPr>
          <w:lang w:val="en-GB"/>
        </w:rPr>
        <w:t>During the consultation process, the local experts and</w:t>
      </w:r>
      <w:r w:rsidR="6A25ED2C" w:rsidRPr="006367F8">
        <w:rPr>
          <w:lang w:val="en-GB"/>
        </w:rPr>
        <w:t xml:space="preserve"> </w:t>
      </w:r>
      <w:r w:rsidR="6A84658E" w:rsidRPr="006367F8">
        <w:rPr>
          <w:lang w:val="en-GB"/>
        </w:rPr>
        <w:t xml:space="preserve">Ministry </w:t>
      </w:r>
      <w:r w:rsidR="04FF4CA7" w:rsidRPr="006367F8">
        <w:rPr>
          <w:lang w:val="en-GB"/>
        </w:rPr>
        <w:t>representatives highlighted</w:t>
      </w:r>
      <w:r w:rsidRPr="006367F8">
        <w:rPr>
          <w:lang w:val="en-GB"/>
        </w:rPr>
        <w:t xml:space="preserve"> that the </w:t>
      </w:r>
      <w:r w:rsidR="6C669216" w:rsidRPr="006367F8">
        <w:rPr>
          <w:lang w:val="en-GB"/>
        </w:rPr>
        <w:t>facility costs</w:t>
      </w:r>
      <w:r w:rsidRPr="006367F8">
        <w:rPr>
          <w:lang w:val="en-GB"/>
        </w:rPr>
        <w:t xml:space="preserve"> and capitalization may vary </w:t>
      </w:r>
      <w:r w:rsidR="56B4B969" w:rsidRPr="006367F8">
        <w:rPr>
          <w:lang w:val="en-GB"/>
        </w:rPr>
        <w:t>across</w:t>
      </w:r>
      <w:r w:rsidRPr="006367F8">
        <w:rPr>
          <w:lang w:val="en-GB"/>
        </w:rPr>
        <w:t xml:space="preserve"> different regions. This hypothesis was </w:t>
      </w:r>
      <w:r w:rsidR="3A4F4570" w:rsidRPr="006367F8">
        <w:rPr>
          <w:lang w:val="en-GB"/>
        </w:rPr>
        <w:t xml:space="preserve">supported by the data </w:t>
      </w:r>
      <w:r w:rsidR="6CBE31A1" w:rsidRPr="006367F8">
        <w:rPr>
          <w:lang w:val="en-GB"/>
        </w:rPr>
        <w:t>from</w:t>
      </w:r>
      <w:r w:rsidR="3A4F4570" w:rsidRPr="006367F8">
        <w:rPr>
          <w:lang w:val="en-GB"/>
        </w:rPr>
        <w:t xml:space="preserve"> the 9 different practices.</w:t>
      </w:r>
      <w:r w:rsidR="5F877748" w:rsidRPr="006367F8">
        <w:rPr>
          <w:lang w:val="en-GB"/>
        </w:rPr>
        <w:t xml:space="preserve"> </w:t>
      </w:r>
      <w:r w:rsidR="1CF65663" w:rsidRPr="005053C3">
        <w:rPr>
          <w:lang w:val="en-GB"/>
        </w:rPr>
        <w:t>O</w:t>
      </w:r>
      <w:r w:rsidR="5F877748" w:rsidRPr="005053C3">
        <w:rPr>
          <w:lang w:val="en-GB"/>
        </w:rPr>
        <w:t>ne</w:t>
      </w:r>
      <w:r w:rsidR="7D5066BB" w:rsidRPr="005053C3">
        <w:rPr>
          <w:lang w:val="en-GB"/>
        </w:rPr>
        <w:t xml:space="preserve"> option to address this challenge</w:t>
      </w:r>
      <w:r w:rsidR="5F877748" w:rsidRPr="005053C3">
        <w:rPr>
          <w:lang w:val="en-GB"/>
        </w:rPr>
        <w:t xml:space="preserve"> is to cover </w:t>
      </w:r>
      <w:r w:rsidR="65D8BC57" w:rsidRPr="005053C3">
        <w:rPr>
          <w:lang w:val="en-GB"/>
        </w:rPr>
        <w:t>facilit</w:t>
      </w:r>
      <w:r w:rsidR="00D90CA6" w:rsidRPr="005053C3">
        <w:rPr>
          <w:lang w:val="en-GB"/>
        </w:rPr>
        <w:t>y</w:t>
      </w:r>
      <w:r w:rsidR="65D8BC57" w:rsidRPr="005053C3">
        <w:rPr>
          <w:lang w:val="en-GB"/>
        </w:rPr>
        <w:t xml:space="preserve"> </w:t>
      </w:r>
      <w:r w:rsidR="5F877748" w:rsidRPr="005053C3">
        <w:rPr>
          <w:lang w:val="en-GB"/>
        </w:rPr>
        <w:t xml:space="preserve">costs as an allowance for </w:t>
      </w:r>
      <w:r w:rsidR="11B0C026" w:rsidRPr="005053C3">
        <w:rPr>
          <w:lang w:val="en-GB"/>
        </w:rPr>
        <w:t>those</w:t>
      </w:r>
      <w:r w:rsidR="5F877748" w:rsidRPr="005053C3">
        <w:rPr>
          <w:lang w:val="en-GB"/>
        </w:rPr>
        <w:t xml:space="preserve"> providers </w:t>
      </w:r>
      <w:r w:rsidR="33048D1D" w:rsidRPr="005053C3">
        <w:rPr>
          <w:lang w:val="en-GB"/>
        </w:rPr>
        <w:t xml:space="preserve">who </w:t>
      </w:r>
      <w:r w:rsidR="00866FDD" w:rsidRPr="005053C3">
        <w:rPr>
          <w:lang w:val="en-GB"/>
        </w:rPr>
        <w:t>own</w:t>
      </w:r>
      <w:r w:rsidR="5F877748" w:rsidRPr="005053C3">
        <w:rPr>
          <w:lang w:val="en-GB"/>
        </w:rPr>
        <w:t xml:space="preserve"> the</w:t>
      </w:r>
      <w:r w:rsidR="3D869E95" w:rsidRPr="005053C3">
        <w:rPr>
          <w:lang w:val="en-GB"/>
        </w:rPr>
        <w:t>ir</w:t>
      </w:r>
      <w:r w:rsidR="5F877748" w:rsidRPr="005053C3">
        <w:rPr>
          <w:lang w:val="en-GB"/>
        </w:rPr>
        <w:t xml:space="preserve"> premises or pay rent. </w:t>
      </w:r>
      <w:r w:rsidR="2762D14B" w:rsidRPr="005053C3">
        <w:rPr>
          <w:lang w:val="en-GB"/>
        </w:rPr>
        <w:t>In many cases the rural providers and some urban provider</w:t>
      </w:r>
      <w:r w:rsidR="50720ACE" w:rsidRPr="005053C3">
        <w:rPr>
          <w:lang w:val="en-GB"/>
        </w:rPr>
        <w:t>s,</w:t>
      </w:r>
      <w:r w:rsidR="2762D14B" w:rsidRPr="005053C3">
        <w:rPr>
          <w:lang w:val="en-GB"/>
        </w:rPr>
        <w:t xml:space="preserve"> use state </w:t>
      </w:r>
      <w:r w:rsidR="0E7AEC32" w:rsidRPr="005053C3">
        <w:rPr>
          <w:lang w:val="en-GB"/>
        </w:rPr>
        <w:t xml:space="preserve">facilities </w:t>
      </w:r>
      <w:r w:rsidR="2762D14B" w:rsidRPr="005053C3">
        <w:rPr>
          <w:lang w:val="en-GB"/>
        </w:rPr>
        <w:t xml:space="preserve">to provide services and do not have costs related to capitalization or rent. </w:t>
      </w:r>
      <w:r w:rsidR="2B495D4A" w:rsidRPr="005053C3">
        <w:rPr>
          <w:lang w:val="en-GB"/>
        </w:rPr>
        <w:t>So</w:t>
      </w:r>
      <w:r w:rsidR="007150D7" w:rsidRPr="005053C3">
        <w:rPr>
          <w:lang w:val="en-GB"/>
        </w:rPr>
        <w:t>,</w:t>
      </w:r>
      <w:r w:rsidR="2B495D4A" w:rsidRPr="005053C3">
        <w:rPr>
          <w:lang w:val="en-GB"/>
        </w:rPr>
        <w:t xml:space="preserve"> these costs were excluded from the basic capitation model. The </w:t>
      </w:r>
      <w:r w:rsidR="0BC400E8" w:rsidRPr="005053C3">
        <w:rPr>
          <w:lang w:val="en-GB"/>
        </w:rPr>
        <w:t xml:space="preserve">facility </w:t>
      </w:r>
      <w:r w:rsidR="7C7320E6" w:rsidRPr="005053C3">
        <w:rPr>
          <w:lang w:val="en-GB"/>
        </w:rPr>
        <w:t>maintenance</w:t>
      </w:r>
      <w:r w:rsidR="2B495D4A" w:rsidRPr="005053C3">
        <w:rPr>
          <w:lang w:val="en-GB"/>
        </w:rPr>
        <w:t xml:space="preserve"> and heating costs remained in the basic capitation, </w:t>
      </w:r>
      <w:r w:rsidR="2097E05D" w:rsidRPr="005053C3">
        <w:rPr>
          <w:lang w:val="en-GB"/>
        </w:rPr>
        <w:t xml:space="preserve">as </w:t>
      </w:r>
      <w:r w:rsidR="34AB8D2E" w:rsidRPr="005053C3">
        <w:rPr>
          <w:lang w:val="en-GB"/>
        </w:rPr>
        <w:t xml:space="preserve">they </w:t>
      </w:r>
      <w:r w:rsidR="2B495D4A" w:rsidRPr="005053C3">
        <w:rPr>
          <w:lang w:val="en-GB"/>
        </w:rPr>
        <w:t>a</w:t>
      </w:r>
      <w:r w:rsidR="4D806F5F" w:rsidRPr="005053C3">
        <w:rPr>
          <w:lang w:val="en-GB"/>
        </w:rPr>
        <w:t>pply to all providers.</w:t>
      </w:r>
    </w:p>
    <w:p w14:paraId="5CD1CED2" w14:textId="22F08FB6" w:rsidR="4D9D5725" w:rsidRDefault="4D9D5725" w:rsidP="002E590D">
      <w:pPr>
        <w:spacing w:after="0" w:line="240" w:lineRule="auto"/>
        <w:jc w:val="both"/>
        <w:rPr>
          <w:lang w:val="en-GB"/>
        </w:rPr>
      </w:pPr>
      <w:r w:rsidRPr="005053C3">
        <w:rPr>
          <w:lang w:val="en-GB"/>
        </w:rPr>
        <w:t xml:space="preserve">In order to assess the </w:t>
      </w:r>
      <w:r w:rsidRPr="00FC710A">
        <w:rPr>
          <w:lang w:val="en-GB"/>
        </w:rPr>
        <w:t xml:space="preserve">costs related to </w:t>
      </w:r>
      <w:r w:rsidR="228F68A4" w:rsidRPr="00FC710A">
        <w:rPr>
          <w:lang w:val="en-GB"/>
        </w:rPr>
        <w:t>facilities</w:t>
      </w:r>
      <w:r w:rsidRPr="00FC710A">
        <w:rPr>
          <w:lang w:val="en-GB"/>
        </w:rPr>
        <w:t xml:space="preserve">, a minimum </w:t>
      </w:r>
      <w:r w:rsidR="1C13E07E" w:rsidRPr="00FC710A">
        <w:rPr>
          <w:lang w:val="en-GB"/>
        </w:rPr>
        <w:t xml:space="preserve">facility </w:t>
      </w:r>
      <w:r w:rsidR="313A4298" w:rsidRPr="00FC710A">
        <w:rPr>
          <w:lang w:val="en-GB"/>
        </w:rPr>
        <w:t xml:space="preserve">size </w:t>
      </w:r>
      <w:r w:rsidRPr="00FC710A">
        <w:rPr>
          <w:lang w:val="en-GB"/>
        </w:rPr>
        <w:t xml:space="preserve">requirement </w:t>
      </w:r>
      <w:r w:rsidR="5C3517B7" w:rsidRPr="00FC710A">
        <w:rPr>
          <w:lang w:val="en-GB"/>
        </w:rPr>
        <w:t>is needed</w:t>
      </w:r>
      <w:r w:rsidRPr="00FC710A">
        <w:rPr>
          <w:lang w:val="en-GB"/>
        </w:rPr>
        <w:t xml:space="preserve">. </w:t>
      </w:r>
      <w:r w:rsidR="00F54210" w:rsidRPr="00FC710A">
        <w:rPr>
          <w:lang w:val="en-GB"/>
        </w:rPr>
        <w:t>T</w:t>
      </w:r>
      <w:r w:rsidRPr="00FC710A">
        <w:rPr>
          <w:lang w:val="en-GB"/>
        </w:rPr>
        <w:t>he model assumes the requirements</w:t>
      </w:r>
      <w:r w:rsidR="00F05C41">
        <w:rPr>
          <w:lang w:val="en-GB"/>
        </w:rPr>
        <w:t xml:space="preserve"> described in table 9.</w:t>
      </w:r>
    </w:p>
    <w:p w14:paraId="6837B696" w14:textId="36F495BC" w:rsidR="00D73C9D" w:rsidRDefault="00D73C9D" w:rsidP="002E590D">
      <w:pPr>
        <w:spacing w:after="0" w:line="240" w:lineRule="auto"/>
        <w:jc w:val="both"/>
        <w:rPr>
          <w:lang w:val="en-GB"/>
        </w:rPr>
      </w:pPr>
    </w:p>
    <w:p w14:paraId="60212230" w14:textId="0F42F759" w:rsidR="000B34D3" w:rsidRPr="00F05C41" w:rsidRDefault="00F05C41" w:rsidP="002E590D">
      <w:pPr>
        <w:spacing w:after="0" w:line="240" w:lineRule="auto"/>
        <w:jc w:val="both"/>
        <w:rPr>
          <w:lang w:val="en-GB"/>
        </w:rPr>
      </w:pPr>
      <w:r w:rsidRPr="00F05C41">
        <w:rPr>
          <w:b/>
          <w:bCs/>
          <w:lang w:val="en-GB"/>
        </w:rPr>
        <w:t xml:space="preserve">Table 9. </w:t>
      </w:r>
      <w:r>
        <w:rPr>
          <w:lang w:val="en-GB"/>
        </w:rPr>
        <w:t xml:space="preserve">Room </w:t>
      </w:r>
      <w:r w:rsidR="00BE2389">
        <w:rPr>
          <w:lang w:val="en-GB"/>
        </w:rPr>
        <w:t>requirements</w:t>
      </w:r>
    </w:p>
    <w:tbl>
      <w:tblPr>
        <w:tblStyle w:val="GridTable5Dark-Accent5"/>
        <w:tblW w:w="9268" w:type="dxa"/>
        <w:tblLook w:val="04A0" w:firstRow="1" w:lastRow="0" w:firstColumn="1" w:lastColumn="0" w:noHBand="0" w:noVBand="1"/>
      </w:tblPr>
      <w:tblGrid>
        <w:gridCol w:w="2500"/>
        <w:gridCol w:w="3383"/>
        <w:gridCol w:w="3385"/>
      </w:tblGrid>
      <w:tr w:rsidR="00FC710A" w:rsidRPr="00F54210" w14:paraId="08C1F231" w14:textId="77777777" w:rsidTr="00C73F6E">
        <w:trPr>
          <w:cnfStyle w:val="100000000000" w:firstRow="1" w:lastRow="0" w:firstColumn="0" w:lastColumn="0" w:oddVBand="0" w:evenVBand="0" w:oddHBand="0"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9268" w:type="dxa"/>
            <w:gridSpan w:val="3"/>
            <w:noWrap/>
            <w:hideMark/>
          </w:tcPr>
          <w:p w14:paraId="548EE3B1" w14:textId="067B3211" w:rsidR="00FC710A" w:rsidRPr="00C73F6E" w:rsidRDefault="00FC710A" w:rsidP="002E590D">
            <w:pPr>
              <w:jc w:val="center"/>
              <w:rPr>
                <w:rFonts w:ascii="Calibri" w:eastAsia="Times New Roman" w:hAnsi="Calibri" w:cs="Times New Roman"/>
                <w:b w:val="0"/>
                <w:bCs w:val="0"/>
                <w:i/>
                <w:iCs/>
                <w:color w:val="auto"/>
                <w:sz w:val="20"/>
                <w:szCs w:val="20"/>
                <w:lang w:eastAsia="et-EE"/>
              </w:rPr>
            </w:pPr>
            <w:r w:rsidRPr="00F54210">
              <w:rPr>
                <w:rFonts w:ascii="Calibri" w:eastAsia="Times New Roman" w:hAnsi="Calibri" w:cs="Times New Roman"/>
                <w:i/>
                <w:iCs/>
                <w:color w:val="auto"/>
                <w:sz w:val="20"/>
                <w:szCs w:val="20"/>
                <w:lang w:eastAsia="et-EE"/>
              </w:rPr>
              <w:t>Minimum requirements for PHC service provision</w:t>
            </w:r>
          </w:p>
        </w:tc>
      </w:tr>
      <w:tr w:rsidR="00F54210" w:rsidRPr="00F54210" w14:paraId="1258A879" w14:textId="77777777" w:rsidTr="00FC710A">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2500" w:type="dxa"/>
            <w:noWrap/>
            <w:hideMark/>
          </w:tcPr>
          <w:p w14:paraId="7374234B" w14:textId="77777777" w:rsidR="00F54210" w:rsidRPr="00F54210" w:rsidRDefault="00F54210" w:rsidP="002E590D">
            <w:pPr>
              <w:rPr>
                <w:rFonts w:ascii="Calibri" w:eastAsia="Times New Roman" w:hAnsi="Calibri" w:cs="Times New Roman"/>
                <w:i/>
                <w:iCs/>
                <w:color w:val="auto"/>
                <w:sz w:val="20"/>
                <w:szCs w:val="20"/>
                <w:lang w:eastAsia="et-EE"/>
              </w:rPr>
            </w:pPr>
            <w:r w:rsidRPr="00F54210">
              <w:rPr>
                <w:rFonts w:ascii="Calibri" w:eastAsia="Times New Roman" w:hAnsi="Calibri" w:cs="Times New Roman"/>
                <w:i/>
                <w:iCs/>
                <w:color w:val="auto"/>
                <w:sz w:val="20"/>
                <w:szCs w:val="20"/>
                <w:lang w:eastAsia="et-EE"/>
              </w:rPr>
              <w:t> </w:t>
            </w:r>
          </w:p>
        </w:tc>
        <w:tc>
          <w:tcPr>
            <w:tcW w:w="3383" w:type="dxa"/>
            <w:noWrap/>
            <w:hideMark/>
          </w:tcPr>
          <w:p w14:paraId="497AEA8F" w14:textId="77777777" w:rsidR="00F54210" w:rsidRPr="00F54210" w:rsidRDefault="00F54210"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lang w:eastAsia="et-EE"/>
              </w:rPr>
            </w:pPr>
            <w:r w:rsidRPr="00F54210">
              <w:rPr>
                <w:rFonts w:ascii="Calibri" w:eastAsia="Times New Roman" w:hAnsi="Calibri" w:cs="Times New Roman"/>
                <w:b/>
                <w:bCs/>
                <w:i/>
                <w:iCs/>
                <w:sz w:val="20"/>
                <w:szCs w:val="20"/>
                <w:lang w:eastAsia="et-EE"/>
              </w:rPr>
              <w:t>Singe practice</w:t>
            </w:r>
          </w:p>
        </w:tc>
        <w:tc>
          <w:tcPr>
            <w:tcW w:w="3385" w:type="dxa"/>
            <w:noWrap/>
            <w:hideMark/>
          </w:tcPr>
          <w:p w14:paraId="0B854299" w14:textId="77777777" w:rsidR="00F54210" w:rsidRPr="00F54210" w:rsidRDefault="00F54210"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i/>
                <w:iCs/>
                <w:sz w:val="20"/>
                <w:szCs w:val="20"/>
                <w:lang w:eastAsia="et-EE"/>
              </w:rPr>
            </w:pPr>
            <w:r w:rsidRPr="00F54210">
              <w:rPr>
                <w:rFonts w:ascii="Calibri" w:eastAsia="Times New Roman" w:hAnsi="Calibri" w:cs="Times New Roman"/>
                <w:b/>
                <w:bCs/>
                <w:i/>
                <w:iCs/>
                <w:sz w:val="20"/>
                <w:szCs w:val="20"/>
                <w:lang w:eastAsia="et-EE"/>
              </w:rPr>
              <w:t>5 FD and FN group practice</w:t>
            </w:r>
          </w:p>
        </w:tc>
      </w:tr>
      <w:tr w:rsidR="00F54210" w:rsidRPr="00F54210" w14:paraId="34E485FF" w14:textId="77777777" w:rsidTr="00FC710A">
        <w:trPr>
          <w:trHeight w:val="197"/>
        </w:trPr>
        <w:tc>
          <w:tcPr>
            <w:cnfStyle w:val="001000000000" w:firstRow="0" w:lastRow="0" w:firstColumn="1" w:lastColumn="0" w:oddVBand="0" w:evenVBand="0" w:oddHBand="0" w:evenHBand="0" w:firstRowFirstColumn="0" w:firstRowLastColumn="0" w:lastRowFirstColumn="0" w:lastRowLastColumn="0"/>
            <w:tcW w:w="2500" w:type="dxa"/>
            <w:noWrap/>
            <w:hideMark/>
          </w:tcPr>
          <w:p w14:paraId="6E43E8F8" w14:textId="77777777" w:rsidR="00F54210" w:rsidRPr="00F54210" w:rsidRDefault="00F54210" w:rsidP="002E590D">
            <w:pPr>
              <w:jc w:val="center"/>
              <w:rPr>
                <w:rFonts w:ascii="Calibri" w:eastAsia="Times New Roman" w:hAnsi="Calibri" w:cs="Times New Roman"/>
                <w:i/>
                <w:iCs/>
                <w:color w:val="auto"/>
                <w:sz w:val="20"/>
                <w:szCs w:val="20"/>
                <w:lang w:eastAsia="et-EE"/>
              </w:rPr>
            </w:pPr>
            <w:r w:rsidRPr="00F54210">
              <w:rPr>
                <w:rFonts w:ascii="Calibri" w:eastAsia="Times New Roman" w:hAnsi="Calibri" w:cs="Times New Roman"/>
                <w:i/>
                <w:iCs/>
                <w:color w:val="auto"/>
                <w:sz w:val="20"/>
                <w:szCs w:val="20"/>
                <w:lang w:eastAsia="et-EE"/>
              </w:rPr>
              <w:t>Name of the room</w:t>
            </w:r>
          </w:p>
        </w:tc>
        <w:tc>
          <w:tcPr>
            <w:tcW w:w="3383" w:type="dxa"/>
            <w:noWrap/>
            <w:hideMark/>
          </w:tcPr>
          <w:p w14:paraId="3E4D6915" w14:textId="77777777" w:rsidR="00F54210" w:rsidRPr="00F54210" w:rsidRDefault="00F54210"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lang w:eastAsia="et-EE"/>
              </w:rPr>
            </w:pPr>
            <w:r w:rsidRPr="00F54210">
              <w:rPr>
                <w:rFonts w:ascii="Calibri" w:eastAsia="Times New Roman" w:hAnsi="Calibri" w:cs="Times New Roman"/>
                <w:b/>
                <w:bCs/>
                <w:i/>
                <w:iCs/>
                <w:sz w:val="20"/>
                <w:szCs w:val="20"/>
                <w:lang w:eastAsia="et-EE"/>
              </w:rPr>
              <w:t>Area, m2</w:t>
            </w:r>
          </w:p>
        </w:tc>
        <w:tc>
          <w:tcPr>
            <w:tcW w:w="3385" w:type="dxa"/>
            <w:noWrap/>
            <w:hideMark/>
          </w:tcPr>
          <w:p w14:paraId="3AC50F30" w14:textId="77777777" w:rsidR="00F54210" w:rsidRPr="00F54210" w:rsidRDefault="00F54210"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i/>
                <w:iCs/>
                <w:sz w:val="20"/>
                <w:szCs w:val="20"/>
                <w:lang w:eastAsia="et-EE"/>
              </w:rPr>
            </w:pPr>
            <w:r w:rsidRPr="00F54210">
              <w:rPr>
                <w:rFonts w:ascii="Calibri" w:eastAsia="Times New Roman" w:hAnsi="Calibri" w:cs="Times New Roman"/>
                <w:b/>
                <w:bCs/>
                <w:i/>
                <w:iCs/>
                <w:sz w:val="20"/>
                <w:szCs w:val="20"/>
                <w:lang w:eastAsia="et-EE"/>
              </w:rPr>
              <w:t>Area, m2</w:t>
            </w:r>
          </w:p>
        </w:tc>
      </w:tr>
      <w:tr w:rsidR="00436592" w:rsidRPr="00F54210" w14:paraId="7CC49EAA" w14:textId="77777777" w:rsidTr="003D1533">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0" w:type="dxa"/>
            <w:noWrap/>
            <w:vAlign w:val="bottom"/>
            <w:hideMark/>
          </w:tcPr>
          <w:p w14:paraId="3DF54E25" w14:textId="5F9C6E01" w:rsidR="00436592" w:rsidRPr="00F54210" w:rsidRDefault="00436592" w:rsidP="002E590D">
            <w:pPr>
              <w:rPr>
                <w:rFonts w:ascii="Calibri" w:eastAsia="Times New Roman" w:hAnsi="Calibri" w:cs="Times New Roman"/>
                <w:color w:val="000000"/>
                <w:sz w:val="20"/>
                <w:szCs w:val="20"/>
                <w:lang w:eastAsia="et-EE"/>
              </w:rPr>
            </w:pPr>
            <w:r>
              <w:rPr>
                <w:rFonts w:ascii="Calibri" w:hAnsi="Calibri" w:cs="Calibri"/>
                <w:color w:val="000000"/>
                <w:sz w:val="20"/>
                <w:szCs w:val="20"/>
              </w:rPr>
              <w:t>Nurse or doctors cabinet</w:t>
            </w:r>
          </w:p>
        </w:tc>
        <w:tc>
          <w:tcPr>
            <w:tcW w:w="0" w:type="dxa"/>
            <w:noWrap/>
            <w:vAlign w:val="bottom"/>
            <w:hideMark/>
          </w:tcPr>
          <w:p w14:paraId="06C3B85D" w14:textId="0F34FADA" w:rsidR="00436592" w:rsidRPr="00F54210" w:rsidRDefault="00436592"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t-EE"/>
              </w:rPr>
            </w:pPr>
            <w:r>
              <w:rPr>
                <w:rFonts w:ascii="Calibri" w:hAnsi="Calibri" w:cs="Calibri"/>
                <w:color w:val="000000"/>
                <w:sz w:val="20"/>
                <w:szCs w:val="20"/>
              </w:rPr>
              <w:t>12 x 2 or 16</w:t>
            </w:r>
          </w:p>
        </w:tc>
        <w:tc>
          <w:tcPr>
            <w:tcW w:w="0" w:type="dxa"/>
            <w:noWrap/>
            <w:vAlign w:val="bottom"/>
            <w:hideMark/>
          </w:tcPr>
          <w:p w14:paraId="1D846FE0" w14:textId="4A07E4EC" w:rsidR="00436592" w:rsidRPr="00F54210" w:rsidRDefault="00436592"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Pr>
                <w:rFonts w:ascii="Calibri" w:hAnsi="Calibri" w:cs="Calibri"/>
                <w:sz w:val="20"/>
                <w:szCs w:val="20"/>
              </w:rPr>
              <w:t xml:space="preserve">12x10 </w:t>
            </w:r>
          </w:p>
        </w:tc>
      </w:tr>
      <w:tr w:rsidR="00436592" w:rsidRPr="00F54210" w14:paraId="379FF625" w14:textId="77777777" w:rsidTr="003D1533">
        <w:trPr>
          <w:trHeight w:val="197"/>
        </w:trPr>
        <w:tc>
          <w:tcPr>
            <w:cnfStyle w:val="001000000000" w:firstRow="0" w:lastRow="0" w:firstColumn="1" w:lastColumn="0" w:oddVBand="0" w:evenVBand="0" w:oddHBand="0" w:evenHBand="0" w:firstRowFirstColumn="0" w:firstRowLastColumn="0" w:lastRowFirstColumn="0" w:lastRowLastColumn="0"/>
            <w:tcW w:w="0" w:type="dxa"/>
            <w:noWrap/>
            <w:vAlign w:val="bottom"/>
            <w:hideMark/>
          </w:tcPr>
          <w:p w14:paraId="1E07EC1A" w14:textId="2BE61744" w:rsidR="00436592" w:rsidRPr="00F54210" w:rsidRDefault="00436592" w:rsidP="002E590D">
            <w:pPr>
              <w:rPr>
                <w:rFonts w:ascii="Calibri" w:eastAsia="Times New Roman" w:hAnsi="Calibri" w:cs="Times New Roman"/>
                <w:color w:val="000000"/>
                <w:sz w:val="20"/>
                <w:szCs w:val="20"/>
                <w:lang w:eastAsia="et-EE"/>
              </w:rPr>
            </w:pPr>
            <w:r>
              <w:rPr>
                <w:rFonts w:ascii="Calibri" w:hAnsi="Calibri" w:cs="Calibri"/>
                <w:color w:val="000000"/>
                <w:sz w:val="20"/>
                <w:szCs w:val="20"/>
              </w:rPr>
              <w:t>Procedure room</w:t>
            </w:r>
          </w:p>
        </w:tc>
        <w:tc>
          <w:tcPr>
            <w:tcW w:w="0" w:type="dxa"/>
            <w:noWrap/>
            <w:vAlign w:val="bottom"/>
            <w:hideMark/>
          </w:tcPr>
          <w:p w14:paraId="30F95D2A" w14:textId="351743E6" w:rsidR="00436592" w:rsidRPr="00F54210" w:rsidRDefault="00436592"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t-EE"/>
              </w:rPr>
            </w:pPr>
            <w:r>
              <w:rPr>
                <w:rFonts w:ascii="Calibri" w:hAnsi="Calibri" w:cs="Calibri"/>
                <w:color w:val="000000"/>
                <w:sz w:val="20"/>
                <w:szCs w:val="20"/>
              </w:rPr>
              <w:t>16</w:t>
            </w:r>
          </w:p>
        </w:tc>
        <w:tc>
          <w:tcPr>
            <w:tcW w:w="0" w:type="dxa"/>
            <w:noWrap/>
            <w:vAlign w:val="bottom"/>
            <w:hideMark/>
          </w:tcPr>
          <w:p w14:paraId="6977E52E" w14:textId="5894B13C" w:rsidR="00436592" w:rsidRPr="00F54210" w:rsidRDefault="00436592"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t-EE"/>
              </w:rPr>
            </w:pPr>
            <w:r>
              <w:rPr>
                <w:rFonts w:ascii="Calibri" w:hAnsi="Calibri" w:cs="Calibri"/>
                <w:sz w:val="20"/>
                <w:szCs w:val="20"/>
              </w:rPr>
              <w:t>36</w:t>
            </w:r>
          </w:p>
        </w:tc>
      </w:tr>
      <w:tr w:rsidR="00436592" w:rsidRPr="00F54210" w14:paraId="1AB2A449" w14:textId="77777777" w:rsidTr="003D1533">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0" w:type="dxa"/>
            <w:noWrap/>
            <w:vAlign w:val="bottom"/>
            <w:hideMark/>
          </w:tcPr>
          <w:p w14:paraId="0EB2BA84" w14:textId="5B602D1A" w:rsidR="00436592" w:rsidRPr="00F54210" w:rsidRDefault="00436592" w:rsidP="002E590D">
            <w:pPr>
              <w:rPr>
                <w:rFonts w:ascii="Calibri" w:eastAsia="Times New Roman" w:hAnsi="Calibri" w:cs="Times New Roman"/>
                <w:color w:val="000000"/>
                <w:sz w:val="20"/>
                <w:szCs w:val="20"/>
                <w:lang w:eastAsia="et-EE"/>
              </w:rPr>
            </w:pPr>
            <w:r>
              <w:rPr>
                <w:rFonts w:ascii="Calibri" w:hAnsi="Calibri" w:cs="Calibri"/>
                <w:color w:val="000000"/>
                <w:sz w:val="20"/>
                <w:szCs w:val="20"/>
              </w:rPr>
              <w:t>Waiting room</w:t>
            </w:r>
          </w:p>
        </w:tc>
        <w:tc>
          <w:tcPr>
            <w:tcW w:w="0" w:type="dxa"/>
            <w:noWrap/>
            <w:vAlign w:val="bottom"/>
            <w:hideMark/>
          </w:tcPr>
          <w:p w14:paraId="79AA21F5" w14:textId="13AF2447" w:rsidR="00436592" w:rsidRPr="00F54210" w:rsidRDefault="00436592"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t-EE"/>
              </w:rPr>
            </w:pPr>
            <w:r>
              <w:rPr>
                <w:rFonts w:ascii="Calibri" w:hAnsi="Calibri" w:cs="Calibri"/>
                <w:color w:val="000000"/>
                <w:sz w:val="20"/>
                <w:szCs w:val="20"/>
              </w:rPr>
              <w:t>9</w:t>
            </w:r>
          </w:p>
        </w:tc>
        <w:tc>
          <w:tcPr>
            <w:tcW w:w="0" w:type="dxa"/>
            <w:noWrap/>
            <w:vAlign w:val="bottom"/>
            <w:hideMark/>
          </w:tcPr>
          <w:p w14:paraId="0EE5A333" w14:textId="410F6580" w:rsidR="00436592" w:rsidRPr="00F54210" w:rsidRDefault="00436592"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Pr>
                <w:rFonts w:ascii="Calibri" w:hAnsi="Calibri" w:cs="Calibri"/>
                <w:sz w:val="20"/>
                <w:szCs w:val="20"/>
              </w:rPr>
              <w:t>52</w:t>
            </w:r>
          </w:p>
        </w:tc>
      </w:tr>
      <w:tr w:rsidR="00436592" w:rsidRPr="00F54210" w14:paraId="16B36250" w14:textId="77777777" w:rsidTr="003D1533">
        <w:trPr>
          <w:trHeight w:val="197"/>
        </w:trPr>
        <w:tc>
          <w:tcPr>
            <w:cnfStyle w:val="001000000000" w:firstRow="0" w:lastRow="0" w:firstColumn="1" w:lastColumn="0" w:oddVBand="0" w:evenVBand="0" w:oddHBand="0" w:evenHBand="0" w:firstRowFirstColumn="0" w:firstRowLastColumn="0" w:lastRowFirstColumn="0" w:lastRowLastColumn="0"/>
            <w:tcW w:w="0" w:type="dxa"/>
            <w:noWrap/>
            <w:vAlign w:val="bottom"/>
            <w:hideMark/>
          </w:tcPr>
          <w:p w14:paraId="5255464E" w14:textId="06B5B1B3" w:rsidR="00436592" w:rsidRPr="00F54210" w:rsidRDefault="00436592" w:rsidP="002E590D">
            <w:pPr>
              <w:rPr>
                <w:rFonts w:ascii="Calibri" w:eastAsia="Times New Roman" w:hAnsi="Calibri" w:cs="Times New Roman"/>
                <w:color w:val="000000"/>
                <w:sz w:val="20"/>
                <w:szCs w:val="20"/>
                <w:lang w:eastAsia="et-EE"/>
              </w:rPr>
            </w:pPr>
            <w:r>
              <w:rPr>
                <w:rFonts w:ascii="Calibri" w:hAnsi="Calibri" w:cs="Calibri"/>
                <w:color w:val="000000"/>
                <w:sz w:val="20"/>
                <w:szCs w:val="20"/>
              </w:rPr>
              <w:t>WC</w:t>
            </w:r>
          </w:p>
        </w:tc>
        <w:tc>
          <w:tcPr>
            <w:tcW w:w="0" w:type="dxa"/>
            <w:noWrap/>
            <w:vAlign w:val="bottom"/>
            <w:hideMark/>
          </w:tcPr>
          <w:p w14:paraId="2C770A9C" w14:textId="036EDD79" w:rsidR="00436592" w:rsidRPr="00F54210" w:rsidRDefault="00436592"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color w:val="000000"/>
                <w:sz w:val="20"/>
                <w:szCs w:val="20"/>
                <w:lang w:eastAsia="et-EE"/>
              </w:rPr>
            </w:pPr>
            <w:r>
              <w:rPr>
                <w:rFonts w:ascii="Calibri" w:hAnsi="Calibri" w:cs="Calibri"/>
                <w:color w:val="000000"/>
                <w:sz w:val="20"/>
                <w:szCs w:val="20"/>
              </w:rPr>
              <w:t>3</w:t>
            </w:r>
          </w:p>
        </w:tc>
        <w:tc>
          <w:tcPr>
            <w:tcW w:w="0" w:type="dxa"/>
            <w:noWrap/>
            <w:vAlign w:val="bottom"/>
            <w:hideMark/>
          </w:tcPr>
          <w:p w14:paraId="6DDEC834" w14:textId="4F331C56" w:rsidR="00436592" w:rsidRPr="00F54210" w:rsidRDefault="00436592"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t-EE"/>
              </w:rPr>
            </w:pPr>
            <w:r>
              <w:rPr>
                <w:rFonts w:ascii="Calibri" w:hAnsi="Calibri" w:cs="Calibri"/>
                <w:sz w:val="20"/>
                <w:szCs w:val="20"/>
              </w:rPr>
              <w:t>17</w:t>
            </w:r>
          </w:p>
        </w:tc>
      </w:tr>
      <w:tr w:rsidR="00436592" w:rsidRPr="00F54210" w14:paraId="41B98AA8" w14:textId="77777777" w:rsidTr="003D1533">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0" w:type="dxa"/>
            <w:noWrap/>
            <w:vAlign w:val="bottom"/>
            <w:hideMark/>
          </w:tcPr>
          <w:p w14:paraId="7ACF4E6E" w14:textId="76D2DD9D" w:rsidR="00436592" w:rsidRPr="00F54210" w:rsidRDefault="00436592" w:rsidP="002E590D">
            <w:pPr>
              <w:rPr>
                <w:rFonts w:ascii="Calibri" w:eastAsia="Times New Roman" w:hAnsi="Calibri" w:cs="Times New Roman"/>
                <w:color w:val="000000"/>
                <w:sz w:val="20"/>
                <w:szCs w:val="20"/>
                <w:lang w:eastAsia="et-EE"/>
              </w:rPr>
            </w:pPr>
            <w:r>
              <w:rPr>
                <w:rFonts w:ascii="Calibri" w:hAnsi="Calibri" w:cs="Calibri"/>
                <w:color w:val="000000"/>
                <w:sz w:val="20"/>
                <w:szCs w:val="20"/>
              </w:rPr>
              <w:t>Auxiliary room</w:t>
            </w:r>
          </w:p>
        </w:tc>
        <w:tc>
          <w:tcPr>
            <w:tcW w:w="0" w:type="dxa"/>
            <w:noWrap/>
            <w:vAlign w:val="bottom"/>
            <w:hideMark/>
          </w:tcPr>
          <w:p w14:paraId="7E00DB14" w14:textId="128CD017" w:rsidR="00436592" w:rsidRPr="00F54210" w:rsidRDefault="00436592"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color w:val="000000"/>
                <w:sz w:val="20"/>
                <w:szCs w:val="20"/>
                <w:lang w:eastAsia="et-EE"/>
              </w:rPr>
            </w:pPr>
            <w:r>
              <w:rPr>
                <w:rFonts w:ascii="Calibri" w:hAnsi="Calibri" w:cs="Calibri"/>
                <w:color w:val="000000"/>
                <w:sz w:val="20"/>
                <w:szCs w:val="20"/>
              </w:rPr>
              <w:t>2 × 2</w:t>
            </w:r>
          </w:p>
        </w:tc>
        <w:tc>
          <w:tcPr>
            <w:tcW w:w="0" w:type="dxa"/>
            <w:noWrap/>
            <w:vAlign w:val="bottom"/>
            <w:hideMark/>
          </w:tcPr>
          <w:p w14:paraId="01E177B2" w14:textId="0E1A21DC" w:rsidR="00436592" w:rsidRPr="00F54210" w:rsidRDefault="00436592"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Pr>
                <w:rFonts w:ascii="Calibri" w:hAnsi="Calibri" w:cs="Calibri"/>
                <w:sz w:val="20"/>
                <w:szCs w:val="20"/>
              </w:rPr>
              <w:t>55</w:t>
            </w:r>
          </w:p>
        </w:tc>
      </w:tr>
      <w:tr w:rsidR="00F54210" w:rsidRPr="00F54210" w14:paraId="27720733" w14:textId="77777777" w:rsidTr="00FC710A">
        <w:trPr>
          <w:trHeight w:val="197"/>
        </w:trPr>
        <w:tc>
          <w:tcPr>
            <w:cnfStyle w:val="001000000000" w:firstRow="0" w:lastRow="0" w:firstColumn="1" w:lastColumn="0" w:oddVBand="0" w:evenVBand="0" w:oddHBand="0" w:evenHBand="0" w:firstRowFirstColumn="0" w:firstRowLastColumn="0" w:lastRowFirstColumn="0" w:lastRowLastColumn="0"/>
            <w:tcW w:w="9268" w:type="dxa"/>
            <w:gridSpan w:val="3"/>
            <w:noWrap/>
            <w:hideMark/>
          </w:tcPr>
          <w:p w14:paraId="06092235" w14:textId="77777777" w:rsidR="00F54210" w:rsidRPr="00F54210" w:rsidRDefault="00F54210" w:rsidP="002E590D">
            <w:pPr>
              <w:rPr>
                <w:rFonts w:ascii="Calibri" w:eastAsia="Times New Roman" w:hAnsi="Calibri" w:cs="Times New Roman"/>
                <w:color w:val="000000"/>
                <w:sz w:val="20"/>
                <w:szCs w:val="20"/>
                <w:lang w:eastAsia="et-EE"/>
              </w:rPr>
            </w:pPr>
            <w:r w:rsidRPr="00F54210">
              <w:rPr>
                <w:rFonts w:ascii="Calibri" w:eastAsia="Times New Roman" w:hAnsi="Calibri" w:cs="Times New Roman"/>
                <w:color w:val="000000"/>
                <w:sz w:val="20"/>
                <w:szCs w:val="20"/>
                <w:lang w:eastAsia="et-EE"/>
              </w:rPr>
              <w:t>The area of premises may be up to 10% less than the permitted size for single practice. For group practice of 5, the area may not be less than 280 m2. For every addition FD team after 5 FDs, minimally 40m2 is needed.</w:t>
            </w:r>
          </w:p>
        </w:tc>
      </w:tr>
      <w:tr w:rsidR="00F54210" w:rsidRPr="00F54210" w14:paraId="58FF5A57" w14:textId="77777777" w:rsidTr="00FC710A">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9268" w:type="dxa"/>
            <w:gridSpan w:val="3"/>
            <w:noWrap/>
            <w:hideMark/>
          </w:tcPr>
          <w:p w14:paraId="5C8AEEFD" w14:textId="6FA28282" w:rsidR="00F54210" w:rsidRPr="00F54210" w:rsidRDefault="00C73F6E" w:rsidP="002E590D">
            <w:pPr>
              <w:rPr>
                <w:rFonts w:ascii="Calibri" w:eastAsia="Times New Roman" w:hAnsi="Calibri" w:cs="Times New Roman"/>
                <w:color w:val="000000"/>
                <w:sz w:val="20"/>
                <w:szCs w:val="20"/>
                <w:lang w:eastAsia="et-EE"/>
              </w:rPr>
            </w:pPr>
            <w:r>
              <w:rPr>
                <w:rFonts w:ascii="Calibri" w:eastAsia="Times New Roman" w:hAnsi="Calibri" w:cs="Times New Roman"/>
                <w:color w:val="000000"/>
                <w:sz w:val="20"/>
                <w:szCs w:val="20"/>
                <w:lang w:eastAsia="et-EE"/>
              </w:rPr>
              <w:t>FDs</w:t>
            </w:r>
            <w:r w:rsidR="00F54210" w:rsidRPr="00F54210">
              <w:rPr>
                <w:rFonts w:ascii="Calibri" w:eastAsia="Times New Roman" w:hAnsi="Calibri" w:cs="Times New Roman"/>
                <w:color w:val="000000"/>
                <w:sz w:val="20"/>
                <w:szCs w:val="20"/>
                <w:lang w:eastAsia="et-EE"/>
              </w:rPr>
              <w:t xml:space="preserve"> working together shall have at least one procedure room for three </w:t>
            </w:r>
            <w:r>
              <w:rPr>
                <w:rFonts w:ascii="Calibri" w:eastAsia="Times New Roman" w:hAnsi="Calibri" w:cs="Times New Roman"/>
                <w:color w:val="000000"/>
                <w:sz w:val="20"/>
                <w:szCs w:val="20"/>
                <w:lang w:eastAsia="et-EE"/>
              </w:rPr>
              <w:t>FDs</w:t>
            </w:r>
            <w:r w:rsidR="00F54210" w:rsidRPr="00F54210">
              <w:rPr>
                <w:rFonts w:ascii="Calibri" w:eastAsia="Times New Roman" w:hAnsi="Calibri" w:cs="Times New Roman"/>
                <w:color w:val="000000"/>
                <w:sz w:val="20"/>
                <w:szCs w:val="20"/>
                <w:lang w:eastAsia="et-EE"/>
              </w:rPr>
              <w:t>.</w:t>
            </w:r>
          </w:p>
        </w:tc>
      </w:tr>
    </w:tbl>
    <w:p w14:paraId="582F05B4" w14:textId="35DCF1E0" w:rsidR="27D2215C" w:rsidRPr="005053C3" w:rsidRDefault="27D2215C" w:rsidP="002E590D">
      <w:pPr>
        <w:spacing w:after="0" w:line="240" w:lineRule="auto"/>
        <w:jc w:val="both"/>
        <w:rPr>
          <w:lang w:val="en-GB"/>
        </w:rPr>
      </w:pPr>
    </w:p>
    <w:p w14:paraId="3FB44366" w14:textId="09ED0573" w:rsidR="4D9D5725" w:rsidRDefault="4D9D5725" w:rsidP="002E590D">
      <w:pPr>
        <w:spacing w:after="0" w:line="240" w:lineRule="auto"/>
        <w:jc w:val="both"/>
        <w:rPr>
          <w:lang w:val="en-GB"/>
        </w:rPr>
      </w:pPr>
      <w:r w:rsidRPr="005053C3">
        <w:rPr>
          <w:lang w:val="en-GB"/>
        </w:rPr>
        <w:t>These requirements</w:t>
      </w:r>
      <w:r w:rsidR="283D9782" w:rsidRPr="005053C3">
        <w:rPr>
          <w:lang w:val="en-GB"/>
        </w:rPr>
        <w:t>, as well as those in the previous section,</w:t>
      </w:r>
      <w:r w:rsidRPr="005053C3">
        <w:rPr>
          <w:lang w:val="en-GB"/>
        </w:rPr>
        <w:t xml:space="preserve"> may need to be regulated and enforced through licensing</w:t>
      </w:r>
      <w:r w:rsidR="41365DA0" w:rsidRPr="005053C3">
        <w:rPr>
          <w:lang w:val="en-GB"/>
        </w:rPr>
        <w:t xml:space="preserve"> </w:t>
      </w:r>
      <w:r w:rsidRPr="005053C3">
        <w:rPr>
          <w:lang w:val="en-GB"/>
        </w:rPr>
        <w:t xml:space="preserve">to ensure that all providers have the minimum level of </w:t>
      </w:r>
      <w:r w:rsidR="3EF1CE75" w:rsidRPr="005053C3">
        <w:rPr>
          <w:lang w:val="en-GB"/>
        </w:rPr>
        <w:t>equipment available</w:t>
      </w:r>
      <w:r w:rsidR="00D90CA6" w:rsidRPr="005053C3">
        <w:rPr>
          <w:lang w:val="en-GB"/>
        </w:rPr>
        <w:t xml:space="preserve"> and the facility size is adequate</w:t>
      </w:r>
      <w:r w:rsidR="3EF1CE75" w:rsidRPr="005053C3">
        <w:rPr>
          <w:lang w:val="en-GB"/>
        </w:rPr>
        <w:t>.</w:t>
      </w:r>
    </w:p>
    <w:p w14:paraId="64F6CE1D" w14:textId="77777777" w:rsidR="00F05C41" w:rsidRPr="005053C3" w:rsidRDefault="00F05C41" w:rsidP="002E590D">
      <w:pPr>
        <w:spacing w:after="0" w:line="240" w:lineRule="auto"/>
        <w:jc w:val="both"/>
        <w:rPr>
          <w:lang w:val="en-GB"/>
        </w:rPr>
      </w:pPr>
    </w:p>
    <w:p w14:paraId="388B242D" w14:textId="56A8A280" w:rsidR="00866FDD" w:rsidRDefault="3CE9B183" w:rsidP="002E590D">
      <w:pPr>
        <w:spacing w:after="0" w:line="240" w:lineRule="auto"/>
        <w:jc w:val="both"/>
        <w:rPr>
          <w:lang w:val="en-GB"/>
        </w:rPr>
      </w:pPr>
      <w:r w:rsidRPr="005053C3">
        <w:rPr>
          <w:lang w:val="en-GB"/>
        </w:rPr>
        <w:t>Given the</w:t>
      </w:r>
      <w:r w:rsidR="46F82A8F" w:rsidRPr="005053C3">
        <w:rPr>
          <w:lang w:val="en-GB"/>
        </w:rPr>
        <w:t xml:space="preserve"> 10-fold variation in rent </w:t>
      </w:r>
      <w:r w:rsidR="6210BFCA" w:rsidRPr="005053C3">
        <w:rPr>
          <w:lang w:val="en-GB"/>
        </w:rPr>
        <w:t xml:space="preserve">as reported </w:t>
      </w:r>
      <w:r w:rsidR="0954C16E" w:rsidRPr="005053C3">
        <w:rPr>
          <w:lang w:val="en-GB"/>
        </w:rPr>
        <w:t>by providers</w:t>
      </w:r>
      <w:r w:rsidR="285CE69B" w:rsidRPr="005053C3">
        <w:rPr>
          <w:lang w:val="en-GB"/>
        </w:rPr>
        <w:t xml:space="preserve">, rent and capitalization </w:t>
      </w:r>
      <w:r w:rsidR="67619956" w:rsidRPr="005053C3">
        <w:rPr>
          <w:lang w:val="en-GB"/>
        </w:rPr>
        <w:t>costs</w:t>
      </w:r>
      <w:r w:rsidR="285CE69B" w:rsidRPr="005053C3">
        <w:rPr>
          <w:lang w:val="en-GB"/>
        </w:rPr>
        <w:t xml:space="preserve"> </w:t>
      </w:r>
      <w:r w:rsidR="69CD4347" w:rsidRPr="005053C3">
        <w:rPr>
          <w:lang w:val="en-GB"/>
        </w:rPr>
        <w:t xml:space="preserve">could not be </w:t>
      </w:r>
      <w:r w:rsidR="00866FDD" w:rsidRPr="005053C3">
        <w:rPr>
          <w:lang w:val="en-GB"/>
        </w:rPr>
        <w:t>considered</w:t>
      </w:r>
      <w:r w:rsidR="17061225" w:rsidRPr="005053C3">
        <w:rPr>
          <w:lang w:val="en-GB"/>
        </w:rPr>
        <w:t xml:space="preserve"> in the model</w:t>
      </w:r>
      <w:r w:rsidR="285CE69B" w:rsidRPr="005053C3">
        <w:rPr>
          <w:lang w:val="en-GB"/>
        </w:rPr>
        <w:t>.</w:t>
      </w:r>
      <w:r w:rsidR="321CCC10" w:rsidRPr="005053C3">
        <w:rPr>
          <w:lang w:val="en-GB"/>
        </w:rPr>
        <w:t xml:space="preserve"> Instead, expert opinion </w:t>
      </w:r>
      <w:r w:rsidR="1A55D634" w:rsidRPr="005053C3">
        <w:rPr>
          <w:lang w:val="en-GB"/>
        </w:rPr>
        <w:t xml:space="preserve">was used to determine </w:t>
      </w:r>
      <w:r w:rsidR="321CCC10" w:rsidRPr="005053C3">
        <w:rPr>
          <w:lang w:val="en-GB"/>
        </w:rPr>
        <w:t xml:space="preserve">current </w:t>
      </w:r>
      <w:r w:rsidR="21239C72" w:rsidRPr="005053C3">
        <w:rPr>
          <w:lang w:val="en-GB"/>
        </w:rPr>
        <w:t>rates.</w:t>
      </w:r>
      <w:r w:rsidR="321CCC10" w:rsidRPr="005053C3">
        <w:rPr>
          <w:lang w:val="en-GB"/>
        </w:rPr>
        <w:t xml:space="preserve"> </w:t>
      </w:r>
      <w:r w:rsidR="07C16BD6" w:rsidRPr="005053C3">
        <w:rPr>
          <w:lang w:val="en-GB"/>
        </w:rPr>
        <w:t>To properly address this</w:t>
      </w:r>
      <w:r w:rsidR="4D552C82" w:rsidRPr="005053C3">
        <w:rPr>
          <w:lang w:val="en-GB"/>
        </w:rPr>
        <w:t xml:space="preserve"> aspect</w:t>
      </w:r>
      <w:r w:rsidR="07C16BD6" w:rsidRPr="005053C3">
        <w:rPr>
          <w:lang w:val="en-GB"/>
        </w:rPr>
        <w:t xml:space="preserve">, a </w:t>
      </w:r>
      <w:r w:rsidR="6F846896" w:rsidRPr="005053C3">
        <w:rPr>
          <w:lang w:val="en-GB"/>
        </w:rPr>
        <w:t xml:space="preserve">more </w:t>
      </w:r>
      <w:r w:rsidR="07C16BD6" w:rsidRPr="005053C3">
        <w:rPr>
          <w:lang w:val="en-GB"/>
        </w:rPr>
        <w:t>detailed analysis of</w:t>
      </w:r>
      <w:r w:rsidR="321CCC10" w:rsidRPr="005053C3">
        <w:rPr>
          <w:lang w:val="en-GB"/>
        </w:rPr>
        <w:t xml:space="preserve"> the rent and capitalization costs </w:t>
      </w:r>
      <w:r w:rsidR="74F86B99" w:rsidRPr="005053C3">
        <w:rPr>
          <w:lang w:val="en-GB"/>
        </w:rPr>
        <w:t xml:space="preserve">is </w:t>
      </w:r>
      <w:r w:rsidR="321CCC10" w:rsidRPr="005053C3">
        <w:rPr>
          <w:lang w:val="en-GB"/>
        </w:rPr>
        <w:t>need</w:t>
      </w:r>
      <w:r w:rsidR="6A0D3182" w:rsidRPr="005053C3">
        <w:rPr>
          <w:lang w:val="en-GB"/>
        </w:rPr>
        <w:t>ed</w:t>
      </w:r>
      <w:r w:rsidR="321CCC10" w:rsidRPr="005053C3">
        <w:rPr>
          <w:lang w:val="en-GB"/>
        </w:rPr>
        <w:t>.</w:t>
      </w:r>
      <w:r w:rsidR="2CD97316" w:rsidRPr="005053C3">
        <w:rPr>
          <w:lang w:val="en-GB"/>
        </w:rPr>
        <w:t xml:space="preserve"> </w:t>
      </w:r>
      <w:r w:rsidR="529C422F" w:rsidRPr="005053C3">
        <w:rPr>
          <w:lang w:val="en-GB"/>
        </w:rPr>
        <w:t xml:space="preserve">For the purposes of this </w:t>
      </w:r>
      <w:r w:rsidR="3FB080A0" w:rsidRPr="005053C3">
        <w:rPr>
          <w:lang w:val="en-GB"/>
        </w:rPr>
        <w:t>exercise</w:t>
      </w:r>
      <w:r w:rsidR="2CD97316" w:rsidRPr="005053C3">
        <w:rPr>
          <w:lang w:val="en-GB"/>
        </w:rPr>
        <w:t xml:space="preserve">, a rent price of </w:t>
      </w:r>
      <w:r w:rsidR="00D90CA6" w:rsidRPr="005053C3">
        <w:rPr>
          <w:lang w:val="en-GB"/>
        </w:rPr>
        <w:t>15 GEL per m</w:t>
      </w:r>
      <w:r w:rsidR="00D90CA6" w:rsidRPr="005053C3">
        <w:rPr>
          <w:vertAlign w:val="superscript"/>
          <w:lang w:val="en-GB"/>
        </w:rPr>
        <w:t>2</w:t>
      </w:r>
      <w:r w:rsidR="00D90CA6" w:rsidRPr="005053C3">
        <w:rPr>
          <w:lang w:val="en-GB"/>
        </w:rPr>
        <w:t xml:space="preserve"> for single practitioner and </w:t>
      </w:r>
      <w:r w:rsidR="2CD97316" w:rsidRPr="005053C3">
        <w:rPr>
          <w:lang w:val="en-GB"/>
        </w:rPr>
        <w:t>20 GEL per m</w:t>
      </w:r>
      <w:r w:rsidR="2CD97316" w:rsidRPr="005053C3">
        <w:rPr>
          <w:vertAlign w:val="superscript"/>
          <w:lang w:val="en-GB"/>
        </w:rPr>
        <w:t>2</w:t>
      </w:r>
      <w:r w:rsidR="2CD97316" w:rsidRPr="005053C3">
        <w:rPr>
          <w:lang w:val="en-GB"/>
        </w:rPr>
        <w:t xml:space="preserve"> </w:t>
      </w:r>
      <w:r w:rsidR="00D90CA6" w:rsidRPr="005053C3">
        <w:rPr>
          <w:lang w:val="en-GB"/>
        </w:rPr>
        <w:t xml:space="preserve">for </w:t>
      </w:r>
      <w:r w:rsidR="00D90CA6" w:rsidRPr="00FC710A">
        <w:rPr>
          <w:lang w:val="en-GB"/>
        </w:rPr>
        <w:t xml:space="preserve">group practice </w:t>
      </w:r>
      <w:r w:rsidR="2CD97316" w:rsidRPr="00FC710A">
        <w:rPr>
          <w:lang w:val="en-GB"/>
        </w:rPr>
        <w:t>was used to assess costs</w:t>
      </w:r>
      <w:r w:rsidR="00866FDD" w:rsidRPr="00FC710A">
        <w:rPr>
          <w:lang w:val="en-GB"/>
        </w:rPr>
        <w:t>.</w:t>
      </w:r>
      <w:r w:rsidR="00D90CA6" w:rsidRPr="00FC710A">
        <w:rPr>
          <w:lang w:val="en-GB"/>
        </w:rPr>
        <w:t xml:space="preserve"> Higher rate for group practices was used, because these facilities are mostly located in urban areas with higher rent prices.</w:t>
      </w:r>
      <w:r w:rsidR="00BE2389">
        <w:rPr>
          <w:lang w:val="en-GB"/>
        </w:rPr>
        <w:t xml:space="preserve"> </w:t>
      </w:r>
      <w:r w:rsidR="00FC710A" w:rsidRPr="00FC710A">
        <w:rPr>
          <w:lang w:val="en-GB"/>
        </w:rPr>
        <w:t>The following table</w:t>
      </w:r>
      <w:r w:rsidR="00BE2389">
        <w:rPr>
          <w:lang w:val="en-GB"/>
        </w:rPr>
        <w:t xml:space="preserve"> 10</w:t>
      </w:r>
      <w:r w:rsidR="00FC710A" w:rsidRPr="00FC710A">
        <w:rPr>
          <w:lang w:val="en-GB"/>
        </w:rPr>
        <w:t xml:space="preserve"> summarises</w:t>
      </w:r>
      <w:r w:rsidR="00866FDD" w:rsidRPr="00FC710A">
        <w:rPr>
          <w:lang w:val="en-GB"/>
        </w:rPr>
        <w:t xml:space="preserve"> </w:t>
      </w:r>
      <w:r w:rsidR="00FC710A" w:rsidRPr="00FC710A">
        <w:rPr>
          <w:lang w:val="en-GB"/>
        </w:rPr>
        <w:t>c</w:t>
      </w:r>
      <w:r w:rsidR="00866FDD" w:rsidRPr="00FC710A">
        <w:rPr>
          <w:lang w:val="en-GB"/>
        </w:rPr>
        <w:t xml:space="preserve">alculations for </w:t>
      </w:r>
      <w:r w:rsidR="6444EDF7" w:rsidRPr="00FC710A">
        <w:rPr>
          <w:lang w:val="en-GB"/>
        </w:rPr>
        <w:t xml:space="preserve">facility </w:t>
      </w:r>
      <w:r w:rsidR="00866FDD" w:rsidRPr="00FC710A">
        <w:rPr>
          <w:lang w:val="en-GB"/>
        </w:rPr>
        <w:t>rent or capitalization allowance</w:t>
      </w:r>
      <w:r w:rsidR="00FC710A" w:rsidRPr="00FC710A">
        <w:rPr>
          <w:lang w:val="en-GB"/>
        </w:rPr>
        <w:t>.</w:t>
      </w:r>
    </w:p>
    <w:p w14:paraId="1E6EEE8E" w14:textId="20C28033" w:rsidR="00BE2389" w:rsidRDefault="00BE2389" w:rsidP="002E590D">
      <w:pPr>
        <w:spacing w:after="0" w:line="240" w:lineRule="auto"/>
        <w:jc w:val="both"/>
        <w:rPr>
          <w:lang w:val="en-GB"/>
        </w:rPr>
      </w:pPr>
    </w:p>
    <w:p w14:paraId="60BCEA5C" w14:textId="476AEF51" w:rsidR="00BE2389" w:rsidRPr="00FC710A" w:rsidRDefault="00BE2389" w:rsidP="002E590D">
      <w:pPr>
        <w:spacing w:after="0" w:line="240" w:lineRule="auto"/>
        <w:jc w:val="both"/>
        <w:rPr>
          <w:lang w:val="en-GB"/>
        </w:rPr>
      </w:pPr>
      <w:r w:rsidRPr="00BE2389">
        <w:rPr>
          <w:b/>
          <w:bCs/>
          <w:lang w:val="en-GB"/>
        </w:rPr>
        <w:t>Table 10</w:t>
      </w:r>
      <w:r>
        <w:rPr>
          <w:lang w:val="en-GB"/>
        </w:rPr>
        <w:t>. Rent and capitalization allowance</w:t>
      </w:r>
    </w:p>
    <w:tbl>
      <w:tblPr>
        <w:tblStyle w:val="GridTable5Dark-Accent5"/>
        <w:tblW w:w="9949" w:type="dxa"/>
        <w:tblLook w:val="04A0" w:firstRow="1" w:lastRow="0" w:firstColumn="1" w:lastColumn="0" w:noHBand="0" w:noVBand="1"/>
      </w:tblPr>
      <w:tblGrid>
        <w:gridCol w:w="1951"/>
        <w:gridCol w:w="1827"/>
        <w:gridCol w:w="1809"/>
        <w:gridCol w:w="1236"/>
        <w:gridCol w:w="1312"/>
        <w:gridCol w:w="1814"/>
      </w:tblGrid>
      <w:tr w:rsidR="008F59C2" w:rsidRPr="00FC710A" w14:paraId="55F3FC13" w14:textId="77777777" w:rsidTr="00837D20">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951" w:type="dxa"/>
            <w:hideMark/>
          </w:tcPr>
          <w:p w14:paraId="36B484D5" w14:textId="77777777" w:rsidR="008F59C2" w:rsidRPr="00FC710A" w:rsidRDefault="008F59C2" w:rsidP="002E590D">
            <w:pPr>
              <w:jc w:val="center"/>
              <w:rPr>
                <w:rFonts w:ascii="Calibri" w:eastAsia="Times New Roman" w:hAnsi="Calibri" w:cs="Times New Roman"/>
                <w:color w:val="auto"/>
                <w:sz w:val="20"/>
                <w:szCs w:val="20"/>
                <w:lang w:eastAsia="et-EE"/>
              </w:rPr>
            </w:pPr>
            <w:r w:rsidRPr="00FC710A">
              <w:rPr>
                <w:rFonts w:ascii="Calibri" w:eastAsia="Times New Roman" w:hAnsi="Calibri" w:cs="Times New Roman"/>
                <w:color w:val="auto"/>
                <w:sz w:val="20"/>
                <w:szCs w:val="20"/>
                <w:lang w:eastAsia="et-EE"/>
              </w:rPr>
              <w:t> </w:t>
            </w:r>
          </w:p>
        </w:tc>
        <w:tc>
          <w:tcPr>
            <w:tcW w:w="1827" w:type="dxa"/>
            <w:hideMark/>
          </w:tcPr>
          <w:p w14:paraId="4658BE8A" w14:textId="5030DB1B" w:rsidR="008F59C2" w:rsidRPr="00FC710A" w:rsidRDefault="008F59C2" w:rsidP="002E59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sz w:val="20"/>
                <w:szCs w:val="20"/>
                <w:lang w:eastAsia="et-EE"/>
              </w:rPr>
            </w:pPr>
            <w:r w:rsidRPr="00FC710A">
              <w:rPr>
                <w:rFonts w:ascii="Calibri" w:eastAsia="Times New Roman" w:hAnsi="Calibri" w:cs="Times New Roman"/>
                <w:color w:val="auto"/>
                <w:sz w:val="20"/>
                <w:szCs w:val="20"/>
                <w:lang w:eastAsia="et-EE"/>
              </w:rPr>
              <w:t xml:space="preserve">Average m2 per FD and </w:t>
            </w:r>
            <w:r w:rsidR="00C73F6E">
              <w:rPr>
                <w:rFonts w:ascii="Calibri" w:eastAsia="Times New Roman" w:hAnsi="Calibri" w:cs="Times New Roman"/>
                <w:color w:val="auto"/>
                <w:sz w:val="20"/>
                <w:szCs w:val="20"/>
                <w:lang w:eastAsia="et-EE"/>
              </w:rPr>
              <w:t>FN</w:t>
            </w:r>
          </w:p>
        </w:tc>
        <w:tc>
          <w:tcPr>
            <w:tcW w:w="1809" w:type="dxa"/>
            <w:hideMark/>
          </w:tcPr>
          <w:p w14:paraId="559281D5" w14:textId="77777777" w:rsidR="008F59C2" w:rsidRPr="00FC710A" w:rsidRDefault="008F59C2" w:rsidP="002E59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sz w:val="20"/>
                <w:szCs w:val="20"/>
                <w:lang w:eastAsia="et-EE"/>
              </w:rPr>
            </w:pPr>
            <w:r w:rsidRPr="00FC710A">
              <w:rPr>
                <w:rFonts w:ascii="Calibri" w:eastAsia="Times New Roman" w:hAnsi="Calibri" w:cs="Times New Roman"/>
                <w:color w:val="auto"/>
                <w:sz w:val="20"/>
                <w:szCs w:val="20"/>
                <w:lang w:eastAsia="et-EE"/>
              </w:rPr>
              <w:t>Rent/capitalization per m2 monthly</w:t>
            </w:r>
          </w:p>
        </w:tc>
        <w:tc>
          <w:tcPr>
            <w:tcW w:w="1236" w:type="dxa"/>
            <w:hideMark/>
          </w:tcPr>
          <w:p w14:paraId="708BB014" w14:textId="6E2219DA" w:rsidR="008F59C2" w:rsidRPr="00FC710A" w:rsidRDefault="008F59C2" w:rsidP="002E590D">
            <w:pPr>
              <w:jc w:val="center"/>
              <w:cnfStyle w:val="100000000000" w:firstRow="1" w:lastRow="0" w:firstColumn="0" w:lastColumn="0" w:oddVBand="0" w:evenVBand="0" w:oddHBand="0" w:evenHBand="0" w:firstRowFirstColumn="0" w:firstRowLastColumn="0" w:lastRowFirstColumn="0" w:lastRowLastColumn="0"/>
              <w:rPr>
                <w:rFonts w:eastAsia="Times New Roman" w:cs="Times New Roman"/>
                <w:color w:val="auto"/>
                <w:sz w:val="20"/>
                <w:szCs w:val="20"/>
                <w:lang w:eastAsia="et-EE"/>
              </w:rPr>
            </w:pPr>
            <w:r w:rsidRPr="00837D20">
              <w:rPr>
                <w:color w:val="auto"/>
                <w:sz w:val="20"/>
                <w:szCs w:val="20"/>
              </w:rPr>
              <w:t>Total annual rent costs per provider</w:t>
            </w:r>
          </w:p>
        </w:tc>
        <w:tc>
          <w:tcPr>
            <w:tcW w:w="1312" w:type="dxa"/>
            <w:hideMark/>
          </w:tcPr>
          <w:p w14:paraId="39EED817" w14:textId="77777777" w:rsidR="008F59C2" w:rsidRPr="00FC710A" w:rsidRDefault="008F59C2" w:rsidP="002E59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sz w:val="20"/>
                <w:szCs w:val="20"/>
                <w:lang w:eastAsia="et-EE"/>
              </w:rPr>
            </w:pPr>
            <w:r w:rsidRPr="00FC710A">
              <w:rPr>
                <w:rFonts w:ascii="Calibri" w:eastAsia="Times New Roman" w:hAnsi="Calibri" w:cs="Times New Roman"/>
                <w:color w:val="auto"/>
                <w:sz w:val="20"/>
                <w:szCs w:val="20"/>
                <w:lang w:eastAsia="et-EE"/>
              </w:rPr>
              <w:t>Providers</w:t>
            </w:r>
          </w:p>
        </w:tc>
        <w:tc>
          <w:tcPr>
            <w:tcW w:w="1814" w:type="dxa"/>
            <w:hideMark/>
          </w:tcPr>
          <w:p w14:paraId="1AE4C8B1" w14:textId="77777777" w:rsidR="008F59C2" w:rsidRPr="00FC710A" w:rsidRDefault="008F59C2" w:rsidP="002E59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sz w:val="20"/>
                <w:szCs w:val="20"/>
                <w:lang w:eastAsia="et-EE"/>
              </w:rPr>
            </w:pPr>
            <w:r w:rsidRPr="00FC710A">
              <w:rPr>
                <w:rFonts w:ascii="Calibri" w:eastAsia="Times New Roman" w:hAnsi="Calibri" w:cs="Times New Roman"/>
                <w:color w:val="auto"/>
                <w:sz w:val="20"/>
                <w:szCs w:val="20"/>
                <w:lang w:eastAsia="et-EE"/>
              </w:rPr>
              <w:t>Annual budget prognosis</w:t>
            </w:r>
          </w:p>
        </w:tc>
      </w:tr>
      <w:tr w:rsidR="008F59C2" w:rsidRPr="00FC710A" w14:paraId="33290786" w14:textId="77777777" w:rsidTr="00837D20">
        <w:trPr>
          <w:cnfStyle w:val="000000100000" w:firstRow="0" w:lastRow="0" w:firstColumn="0" w:lastColumn="0" w:oddVBand="0" w:evenVBand="0" w:oddHBand="1" w:evenHBand="0"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1951" w:type="dxa"/>
            <w:hideMark/>
          </w:tcPr>
          <w:p w14:paraId="0C1A5393" w14:textId="1A4B94C7" w:rsidR="008F59C2" w:rsidRPr="00FC710A" w:rsidRDefault="008F59C2" w:rsidP="002E590D">
            <w:pPr>
              <w:rPr>
                <w:rFonts w:ascii="Calibri" w:eastAsia="Times New Roman" w:hAnsi="Calibri" w:cs="Times New Roman"/>
                <w:color w:val="auto"/>
                <w:sz w:val="20"/>
                <w:szCs w:val="20"/>
                <w:lang w:eastAsia="et-EE"/>
              </w:rPr>
            </w:pPr>
            <w:r w:rsidRPr="00FC710A">
              <w:rPr>
                <w:rFonts w:ascii="Calibri" w:eastAsia="Times New Roman" w:hAnsi="Calibri" w:cs="Times New Roman"/>
                <w:color w:val="auto"/>
                <w:sz w:val="20"/>
                <w:szCs w:val="20"/>
                <w:lang w:eastAsia="et-EE"/>
              </w:rPr>
              <w:t xml:space="preserve">Rent or capitalization costs for </w:t>
            </w:r>
            <w:r>
              <w:rPr>
                <w:rFonts w:ascii="Calibri" w:eastAsia="Times New Roman" w:hAnsi="Calibri" w:cs="Times New Roman"/>
                <w:color w:val="auto"/>
                <w:sz w:val="20"/>
                <w:szCs w:val="20"/>
                <w:lang w:eastAsia="et-EE"/>
              </w:rPr>
              <w:t>group practices</w:t>
            </w:r>
            <w:r w:rsidR="008661BB">
              <w:rPr>
                <w:rFonts w:ascii="Calibri" w:eastAsia="Times New Roman" w:hAnsi="Calibri" w:cs="Times New Roman"/>
                <w:color w:val="auto"/>
                <w:sz w:val="20"/>
                <w:szCs w:val="20"/>
                <w:lang w:eastAsia="et-EE"/>
              </w:rPr>
              <w:t xml:space="preserve"> in urban area</w:t>
            </w:r>
          </w:p>
        </w:tc>
        <w:tc>
          <w:tcPr>
            <w:tcW w:w="1827" w:type="dxa"/>
            <w:noWrap/>
            <w:hideMark/>
          </w:tcPr>
          <w:p w14:paraId="6904ECBE" w14:textId="77777777" w:rsidR="008F59C2" w:rsidRPr="00FC710A" w:rsidRDefault="008F59C2"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eastAsia="et-EE"/>
              </w:rPr>
            </w:pPr>
            <w:r w:rsidRPr="00FC710A">
              <w:rPr>
                <w:rFonts w:ascii="Calibri" w:eastAsia="Times New Roman" w:hAnsi="Calibri" w:cs="Times New Roman"/>
                <w:b/>
                <w:bCs/>
                <w:sz w:val="20"/>
                <w:szCs w:val="20"/>
                <w:lang w:eastAsia="et-EE"/>
              </w:rPr>
              <w:t>280,00</w:t>
            </w:r>
          </w:p>
        </w:tc>
        <w:tc>
          <w:tcPr>
            <w:tcW w:w="1809" w:type="dxa"/>
            <w:noWrap/>
            <w:hideMark/>
          </w:tcPr>
          <w:p w14:paraId="7CFB13A8" w14:textId="77777777" w:rsidR="008F59C2" w:rsidRPr="00FC710A" w:rsidRDefault="008F59C2"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eastAsia="et-EE"/>
              </w:rPr>
            </w:pPr>
            <w:r w:rsidRPr="00FC710A">
              <w:rPr>
                <w:rFonts w:ascii="Calibri" w:eastAsia="Times New Roman" w:hAnsi="Calibri" w:cs="Times New Roman"/>
                <w:b/>
                <w:bCs/>
                <w:sz w:val="20"/>
                <w:szCs w:val="20"/>
                <w:lang w:eastAsia="et-EE"/>
              </w:rPr>
              <w:t>20,00</w:t>
            </w:r>
          </w:p>
        </w:tc>
        <w:tc>
          <w:tcPr>
            <w:tcW w:w="1236" w:type="dxa"/>
            <w:noWrap/>
            <w:hideMark/>
          </w:tcPr>
          <w:p w14:paraId="472DFDAE" w14:textId="0A0B8BF3" w:rsidR="008F59C2" w:rsidRPr="00FC710A" w:rsidRDefault="008F59C2" w:rsidP="002E590D">
            <w:pPr>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sz w:val="20"/>
                <w:szCs w:val="20"/>
                <w:lang w:eastAsia="et-EE"/>
              </w:rPr>
            </w:pPr>
            <w:r w:rsidRPr="00837D20">
              <w:rPr>
                <w:b/>
                <w:bCs/>
                <w:sz w:val="20"/>
                <w:szCs w:val="20"/>
              </w:rPr>
              <w:t>67 200</w:t>
            </w:r>
          </w:p>
        </w:tc>
        <w:tc>
          <w:tcPr>
            <w:tcW w:w="1312" w:type="dxa"/>
            <w:noWrap/>
            <w:hideMark/>
          </w:tcPr>
          <w:p w14:paraId="4A69DA8C" w14:textId="77777777" w:rsidR="008F59C2" w:rsidRPr="00FC710A" w:rsidRDefault="008F59C2"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eastAsia="et-EE"/>
              </w:rPr>
            </w:pPr>
            <w:r w:rsidRPr="00FC710A">
              <w:rPr>
                <w:rFonts w:ascii="Calibri" w:eastAsia="Times New Roman" w:hAnsi="Calibri" w:cs="Times New Roman"/>
                <w:b/>
                <w:bCs/>
                <w:sz w:val="20"/>
                <w:szCs w:val="20"/>
                <w:lang w:eastAsia="et-EE"/>
              </w:rPr>
              <w:t>189</w:t>
            </w:r>
          </w:p>
        </w:tc>
        <w:tc>
          <w:tcPr>
            <w:tcW w:w="1814" w:type="dxa"/>
            <w:noWrap/>
            <w:hideMark/>
          </w:tcPr>
          <w:p w14:paraId="59F1FAA2" w14:textId="77777777" w:rsidR="008F59C2" w:rsidRPr="00FC710A" w:rsidRDefault="008F59C2"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eastAsia="et-EE"/>
              </w:rPr>
            </w:pPr>
            <w:r w:rsidRPr="00FC710A">
              <w:rPr>
                <w:rFonts w:ascii="Calibri" w:eastAsia="Times New Roman" w:hAnsi="Calibri" w:cs="Times New Roman"/>
                <w:b/>
                <w:bCs/>
                <w:sz w:val="20"/>
                <w:szCs w:val="20"/>
                <w:lang w:eastAsia="et-EE"/>
              </w:rPr>
              <w:t>12 709 160</w:t>
            </w:r>
          </w:p>
        </w:tc>
      </w:tr>
      <w:tr w:rsidR="008F59C2" w:rsidRPr="00FC710A" w14:paraId="63B67D8C" w14:textId="77777777" w:rsidTr="00837D20">
        <w:trPr>
          <w:trHeight w:val="265"/>
        </w:trPr>
        <w:tc>
          <w:tcPr>
            <w:cnfStyle w:val="001000000000" w:firstRow="0" w:lastRow="0" w:firstColumn="1" w:lastColumn="0" w:oddVBand="0" w:evenVBand="0" w:oddHBand="0" w:evenHBand="0" w:firstRowFirstColumn="0" w:firstRowLastColumn="0" w:lastRowFirstColumn="0" w:lastRowLastColumn="0"/>
            <w:tcW w:w="1951" w:type="dxa"/>
            <w:hideMark/>
          </w:tcPr>
          <w:p w14:paraId="48125E05" w14:textId="21B93F98" w:rsidR="008F59C2" w:rsidRPr="00FC710A" w:rsidRDefault="008F59C2" w:rsidP="002E590D">
            <w:pPr>
              <w:rPr>
                <w:rFonts w:ascii="Calibri" w:eastAsia="Times New Roman" w:hAnsi="Calibri" w:cs="Times New Roman"/>
                <w:color w:val="auto"/>
                <w:sz w:val="20"/>
                <w:szCs w:val="20"/>
                <w:lang w:eastAsia="et-EE"/>
              </w:rPr>
            </w:pPr>
            <w:r w:rsidRPr="00FC710A">
              <w:rPr>
                <w:rFonts w:ascii="Calibri" w:eastAsia="Times New Roman" w:hAnsi="Calibri" w:cs="Times New Roman"/>
                <w:color w:val="auto"/>
                <w:sz w:val="20"/>
                <w:szCs w:val="20"/>
                <w:lang w:eastAsia="et-EE"/>
              </w:rPr>
              <w:t xml:space="preserve">Rent or capitalization costs for </w:t>
            </w:r>
            <w:r>
              <w:rPr>
                <w:rFonts w:ascii="Calibri" w:eastAsia="Times New Roman" w:hAnsi="Calibri" w:cs="Times New Roman"/>
                <w:color w:val="auto"/>
                <w:sz w:val="20"/>
                <w:szCs w:val="20"/>
                <w:lang w:eastAsia="et-EE"/>
              </w:rPr>
              <w:t>single practitioners</w:t>
            </w:r>
            <w:r w:rsidR="008661BB">
              <w:rPr>
                <w:rFonts w:ascii="Calibri" w:eastAsia="Times New Roman" w:hAnsi="Calibri" w:cs="Times New Roman"/>
                <w:color w:val="auto"/>
                <w:sz w:val="20"/>
                <w:szCs w:val="20"/>
                <w:lang w:eastAsia="et-EE"/>
              </w:rPr>
              <w:t xml:space="preserve"> in rural area</w:t>
            </w:r>
          </w:p>
        </w:tc>
        <w:tc>
          <w:tcPr>
            <w:tcW w:w="1827" w:type="dxa"/>
            <w:noWrap/>
            <w:hideMark/>
          </w:tcPr>
          <w:p w14:paraId="03ADC474" w14:textId="77777777" w:rsidR="008F59C2" w:rsidRPr="00FC710A" w:rsidRDefault="008F59C2"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eastAsia="et-EE"/>
              </w:rPr>
            </w:pPr>
            <w:r w:rsidRPr="00FC710A">
              <w:rPr>
                <w:rFonts w:ascii="Calibri" w:eastAsia="Times New Roman" w:hAnsi="Calibri" w:cs="Times New Roman"/>
                <w:b/>
                <w:bCs/>
                <w:sz w:val="20"/>
                <w:szCs w:val="20"/>
                <w:lang w:eastAsia="et-EE"/>
              </w:rPr>
              <w:t>52,00</w:t>
            </w:r>
          </w:p>
        </w:tc>
        <w:tc>
          <w:tcPr>
            <w:tcW w:w="1809" w:type="dxa"/>
            <w:noWrap/>
            <w:hideMark/>
          </w:tcPr>
          <w:p w14:paraId="3C56596D" w14:textId="77777777" w:rsidR="008F59C2" w:rsidRPr="00FC710A" w:rsidRDefault="008F59C2"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eastAsia="et-EE"/>
              </w:rPr>
            </w:pPr>
            <w:r w:rsidRPr="00FC710A">
              <w:rPr>
                <w:rFonts w:ascii="Calibri" w:eastAsia="Times New Roman" w:hAnsi="Calibri" w:cs="Times New Roman"/>
                <w:b/>
                <w:bCs/>
                <w:sz w:val="20"/>
                <w:szCs w:val="20"/>
                <w:lang w:eastAsia="et-EE"/>
              </w:rPr>
              <w:t>15,00</w:t>
            </w:r>
          </w:p>
        </w:tc>
        <w:tc>
          <w:tcPr>
            <w:tcW w:w="1236" w:type="dxa"/>
            <w:noWrap/>
            <w:hideMark/>
          </w:tcPr>
          <w:p w14:paraId="57B188C8" w14:textId="63F00A6E" w:rsidR="008F59C2" w:rsidRPr="00FC710A" w:rsidRDefault="008F59C2" w:rsidP="002E590D">
            <w:pPr>
              <w:jc w:val="center"/>
              <w:cnfStyle w:val="000000000000" w:firstRow="0" w:lastRow="0" w:firstColumn="0" w:lastColumn="0" w:oddVBand="0" w:evenVBand="0" w:oddHBand="0" w:evenHBand="0" w:firstRowFirstColumn="0" w:firstRowLastColumn="0" w:lastRowFirstColumn="0" w:lastRowLastColumn="0"/>
              <w:rPr>
                <w:rFonts w:eastAsia="Times New Roman" w:cs="Times New Roman"/>
                <w:b/>
                <w:bCs/>
                <w:sz w:val="20"/>
                <w:szCs w:val="20"/>
                <w:lang w:eastAsia="et-EE"/>
              </w:rPr>
            </w:pPr>
            <w:r w:rsidRPr="00837D20">
              <w:rPr>
                <w:b/>
                <w:bCs/>
                <w:sz w:val="20"/>
                <w:szCs w:val="20"/>
              </w:rPr>
              <w:t>9 360</w:t>
            </w:r>
          </w:p>
        </w:tc>
        <w:tc>
          <w:tcPr>
            <w:tcW w:w="1312" w:type="dxa"/>
            <w:noWrap/>
            <w:hideMark/>
          </w:tcPr>
          <w:p w14:paraId="50D946DC" w14:textId="77777777" w:rsidR="008F59C2" w:rsidRPr="00FC710A" w:rsidRDefault="008F59C2"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eastAsia="et-EE"/>
              </w:rPr>
            </w:pPr>
            <w:r w:rsidRPr="00FC710A">
              <w:rPr>
                <w:rFonts w:ascii="Calibri" w:eastAsia="Times New Roman" w:hAnsi="Calibri" w:cs="Times New Roman"/>
                <w:b/>
                <w:bCs/>
                <w:sz w:val="20"/>
                <w:szCs w:val="20"/>
                <w:lang w:eastAsia="et-EE"/>
              </w:rPr>
              <w:t>1 068</w:t>
            </w:r>
          </w:p>
        </w:tc>
        <w:tc>
          <w:tcPr>
            <w:tcW w:w="1814" w:type="dxa"/>
            <w:noWrap/>
            <w:hideMark/>
          </w:tcPr>
          <w:p w14:paraId="3A803678" w14:textId="77777777" w:rsidR="008F59C2" w:rsidRPr="00FC710A" w:rsidRDefault="008F59C2"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eastAsia="et-EE"/>
              </w:rPr>
            </w:pPr>
            <w:r w:rsidRPr="00FC710A">
              <w:rPr>
                <w:rFonts w:ascii="Calibri" w:eastAsia="Times New Roman" w:hAnsi="Calibri" w:cs="Times New Roman"/>
                <w:b/>
                <w:bCs/>
                <w:sz w:val="20"/>
                <w:szCs w:val="20"/>
                <w:lang w:eastAsia="et-EE"/>
              </w:rPr>
              <w:t>9 997 503</w:t>
            </w:r>
          </w:p>
        </w:tc>
      </w:tr>
      <w:tr w:rsidR="00FC710A" w:rsidRPr="00FC710A" w14:paraId="694DF713" w14:textId="77777777" w:rsidTr="00837D20">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1951" w:type="dxa"/>
            <w:hideMark/>
          </w:tcPr>
          <w:p w14:paraId="6AFB4989" w14:textId="77777777" w:rsidR="00FC710A" w:rsidRPr="00FC710A" w:rsidRDefault="00FC710A" w:rsidP="002E590D">
            <w:pPr>
              <w:rPr>
                <w:rFonts w:ascii="Calibri" w:eastAsia="Times New Roman" w:hAnsi="Calibri" w:cs="Times New Roman"/>
                <w:color w:val="auto"/>
                <w:sz w:val="20"/>
                <w:szCs w:val="20"/>
                <w:lang w:eastAsia="et-EE"/>
              </w:rPr>
            </w:pPr>
            <w:r w:rsidRPr="00FC710A">
              <w:rPr>
                <w:rFonts w:ascii="Calibri" w:eastAsia="Times New Roman" w:hAnsi="Calibri" w:cs="Times New Roman"/>
                <w:color w:val="auto"/>
                <w:sz w:val="20"/>
                <w:szCs w:val="20"/>
                <w:lang w:eastAsia="et-EE"/>
              </w:rPr>
              <w:t>Total</w:t>
            </w:r>
          </w:p>
        </w:tc>
        <w:tc>
          <w:tcPr>
            <w:tcW w:w="1827" w:type="dxa"/>
            <w:noWrap/>
            <w:hideMark/>
          </w:tcPr>
          <w:p w14:paraId="4540F944" w14:textId="77777777" w:rsidR="00FC710A" w:rsidRPr="00FC710A" w:rsidRDefault="00FC710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eastAsia="et-EE"/>
              </w:rPr>
            </w:pPr>
            <w:r w:rsidRPr="00FC710A">
              <w:rPr>
                <w:rFonts w:ascii="Calibri" w:eastAsia="Times New Roman" w:hAnsi="Calibri" w:cs="Times New Roman"/>
                <w:b/>
                <w:bCs/>
                <w:sz w:val="20"/>
                <w:szCs w:val="20"/>
                <w:lang w:eastAsia="et-EE"/>
              </w:rPr>
              <w:t> </w:t>
            </w:r>
          </w:p>
        </w:tc>
        <w:tc>
          <w:tcPr>
            <w:tcW w:w="1809" w:type="dxa"/>
            <w:noWrap/>
            <w:hideMark/>
          </w:tcPr>
          <w:p w14:paraId="68A78024" w14:textId="77777777" w:rsidR="00FC710A" w:rsidRPr="00FC710A" w:rsidRDefault="00FC710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eastAsia="et-EE"/>
              </w:rPr>
            </w:pPr>
            <w:r w:rsidRPr="00FC710A">
              <w:rPr>
                <w:rFonts w:ascii="Calibri" w:eastAsia="Times New Roman" w:hAnsi="Calibri" w:cs="Times New Roman"/>
                <w:b/>
                <w:bCs/>
                <w:sz w:val="20"/>
                <w:szCs w:val="20"/>
                <w:lang w:eastAsia="et-EE"/>
              </w:rPr>
              <w:t> </w:t>
            </w:r>
          </w:p>
        </w:tc>
        <w:tc>
          <w:tcPr>
            <w:tcW w:w="1236" w:type="dxa"/>
            <w:noWrap/>
            <w:hideMark/>
          </w:tcPr>
          <w:p w14:paraId="7CEBC821" w14:textId="77777777" w:rsidR="00FC710A" w:rsidRPr="00FC710A" w:rsidRDefault="00FC710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eastAsia="et-EE"/>
              </w:rPr>
            </w:pPr>
            <w:r w:rsidRPr="00FC710A">
              <w:rPr>
                <w:rFonts w:ascii="Calibri" w:eastAsia="Times New Roman" w:hAnsi="Calibri" w:cs="Times New Roman"/>
                <w:b/>
                <w:bCs/>
                <w:sz w:val="20"/>
                <w:szCs w:val="20"/>
                <w:lang w:eastAsia="et-EE"/>
              </w:rPr>
              <w:t> </w:t>
            </w:r>
          </w:p>
        </w:tc>
        <w:tc>
          <w:tcPr>
            <w:tcW w:w="1312" w:type="dxa"/>
            <w:noWrap/>
            <w:hideMark/>
          </w:tcPr>
          <w:p w14:paraId="7C699F22" w14:textId="77777777" w:rsidR="00FC710A" w:rsidRPr="00FC710A" w:rsidRDefault="00FC710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eastAsia="et-EE"/>
              </w:rPr>
            </w:pPr>
            <w:r w:rsidRPr="00FC710A">
              <w:rPr>
                <w:rFonts w:ascii="Calibri" w:eastAsia="Times New Roman" w:hAnsi="Calibri" w:cs="Times New Roman"/>
                <w:b/>
                <w:bCs/>
                <w:sz w:val="20"/>
                <w:szCs w:val="20"/>
                <w:lang w:eastAsia="et-EE"/>
              </w:rPr>
              <w:t> </w:t>
            </w:r>
          </w:p>
        </w:tc>
        <w:tc>
          <w:tcPr>
            <w:tcW w:w="1814" w:type="dxa"/>
            <w:noWrap/>
            <w:hideMark/>
          </w:tcPr>
          <w:p w14:paraId="7B0AD302" w14:textId="77777777" w:rsidR="00FC710A" w:rsidRPr="00FC710A" w:rsidRDefault="00FC710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eastAsia="et-EE"/>
              </w:rPr>
            </w:pPr>
            <w:r w:rsidRPr="00FC710A">
              <w:rPr>
                <w:rFonts w:ascii="Calibri" w:eastAsia="Times New Roman" w:hAnsi="Calibri" w:cs="Times New Roman"/>
                <w:b/>
                <w:bCs/>
                <w:sz w:val="20"/>
                <w:szCs w:val="20"/>
                <w:lang w:eastAsia="et-EE"/>
              </w:rPr>
              <w:t>22 706 663</w:t>
            </w:r>
          </w:p>
        </w:tc>
      </w:tr>
    </w:tbl>
    <w:p w14:paraId="325ABD3C" w14:textId="77777777" w:rsidR="00FC710A" w:rsidRDefault="00FC710A" w:rsidP="002E590D">
      <w:pPr>
        <w:spacing w:after="0" w:line="240" w:lineRule="auto"/>
        <w:jc w:val="both"/>
        <w:rPr>
          <w:lang w:val="en-GB"/>
        </w:rPr>
      </w:pPr>
    </w:p>
    <w:p w14:paraId="2E55230D" w14:textId="3952A397" w:rsidR="41135739" w:rsidRPr="005053C3" w:rsidRDefault="41135739" w:rsidP="002E590D">
      <w:pPr>
        <w:spacing w:after="0" w:line="240" w:lineRule="auto"/>
        <w:jc w:val="both"/>
        <w:rPr>
          <w:lang w:val="en-GB"/>
        </w:rPr>
      </w:pPr>
      <w:r w:rsidRPr="005053C3">
        <w:rPr>
          <w:lang w:val="en-GB"/>
        </w:rPr>
        <w:t xml:space="preserve">For </w:t>
      </w:r>
      <w:r w:rsidR="2C8D02CF" w:rsidRPr="005053C3">
        <w:rPr>
          <w:lang w:val="en-GB"/>
        </w:rPr>
        <w:t xml:space="preserve">facility </w:t>
      </w:r>
      <w:r w:rsidRPr="005053C3">
        <w:rPr>
          <w:lang w:val="en-GB"/>
        </w:rPr>
        <w:t xml:space="preserve">rent and capitalization costs see </w:t>
      </w:r>
      <w:r w:rsidR="00D90CA6" w:rsidRPr="005053C3">
        <w:rPr>
          <w:lang w:val="en-GB"/>
        </w:rPr>
        <w:t>s</w:t>
      </w:r>
      <w:r w:rsidR="1A25920A" w:rsidRPr="005053C3">
        <w:rPr>
          <w:lang w:val="en-GB"/>
        </w:rPr>
        <w:t>preadsheets</w:t>
      </w:r>
      <w:r w:rsidRPr="005053C3">
        <w:rPr>
          <w:lang w:val="en-GB"/>
        </w:rPr>
        <w:t xml:space="preserve"> </w:t>
      </w:r>
      <w:r w:rsidR="02DF1219" w:rsidRPr="005053C3">
        <w:rPr>
          <w:lang w:val="en-GB"/>
        </w:rPr>
        <w:t>P</w:t>
      </w:r>
      <w:r w:rsidRPr="005053C3">
        <w:rPr>
          <w:lang w:val="en-GB"/>
        </w:rPr>
        <w:t xml:space="preserve">remises and </w:t>
      </w:r>
      <w:r w:rsidR="7DD44B91" w:rsidRPr="005053C3">
        <w:rPr>
          <w:lang w:val="en-GB"/>
        </w:rPr>
        <w:t>C</w:t>
      </w:r>
      <w:r w:rsidRPr="005053C3">
        <w:rPr>
          <w:lang w:val="en-GB"/>
        </w:rPr>
        <w:t xml:space="preserve">apitation </w:t>
      </w:r>
      <w:r w:rsidR="37C8F502" w:rsidRPr="005053C3">
        <w:rPr>
          <w:lang w:val="en-GB"/>
        </w:rPr>
        <w:t>S</w:t>
      </w:r>
      <w:r w:rsidRPr="005053C3">
        <w:rPr>
          <w:lang w:val="en-GB"/>
        </w:rPr>
        <w:t>ummary.</w:t>
      </w:r>
    </w:p>
    <w:p w14:paraId="7BE596FE" w14:textId="22096EC3" w:rsidR="7455FEDB" w:rsidRDefault="7455FEDB" w:rsidP="002E590D">
      <w:pPr>
        <w:spacing w:after="0" w:line="240" w:lineRule="auto"/>
        <w:jc w:val="both"/>
        <w:rPr>
          <w:lang w:val="en-GB"/>
        </w:rPr>
      </w:pPr>
    </w:p>
    <w:p w14:paraId="5EEAF618" w14:textId="77777777" w:rsidR="001829C7" w:rsidRPr="005053C3" w:rsidRDefault="001829C7" w:rsidP="002E590D">
      <w:pPr>
        <w:spacing w:after="0" w:line="240" w:lineRule="auto"/>
        <w:jc w:val="both"/>
        <w:rPr>
          <w:lang w:val="en-GB"/>
        </w:rPr>
      </w:pPr>
    </w:p>
    <w:p w14:paraId="334B4804" w14:textId="0F4B8C2B" w:rsidR="3C8739DB" w:rsidRPr="006367F8" w:rsidRDefault="001B7CAA" w:rsidP="002E590D">
      <w:pPr>
        <w:pStyle w:val="Heading2"/>
        <w:spacing w:before="0" w:line="240" w:lineRule="auto"/>
        <w:ind w:firstLine="708"/>
        <w:rPr>
          <w:b/>
          <w:bCs/>
          <w:i/>
          <w:iCs/>
          <w:color w:val="auto"/>
          <w:lang w:val="en-GB"/>
        </w:rPr>
      </w:pPr>
      <w:bookmarkStart w:id="14" w:name="_Toc62149254"/>
      <w:r w:rsidRPr="006367F8">
        <w:rPr>
          <w:b/>
          <w:bCs/>
          <w:i/>
          <w:iCs/>
          <w:color w:val="auto"/>
          <w:lang w:val="en-GB"/>
        </w:rPr>
        <w:t xml:space="preserve">4.7 </w:t>
      </w:r>
      <w:r w:rsidR="3C8739DB" w:rsidRPr="006367F8">
        <w:rPr>
          <w:b/>
          <w:bCs/>
          <w:i/>
          <w:iCs/>
          <w:color w:val="auto"/>
          <w:lang w:val="en-GB"/>
        </w:rPr>
        <w:t>Priority services</w:t>
      </w:r>
      <w:bookmarkEnd w:id="14"/>
    </w:p>
    <w:p w14:paraId="12603D59" w14:textId="1C29B488" w:rsidR="00FC00C6" w:rsidRDefault="008F396E" w:rsidP="002E590D">
      <w:pPr>
        <w:pStyle w:val="NoSpacing"/>
        <w:jc w:val="both"/>
        <w:rPr>
          <w:lang w:val="en-GB"/>
        </w:rPr>
      </w:pPr>
      <w:r w:rsidRPr="006367F8">
        <w:rPr>
          <w:lang w:val="en-GB"/>
        </w:rPr>
        <w:t>National guidelines were used t</w:t>
      </w:r>
      <w:r w:rsidR="5728E392" w:rsidRPr="006367F8">
        <w:rPr>
          <w:lang w:val="en-GB"/>
        </w:rPr>
        <w:t xml:space="preserve">o calculate </w:t>
      </w:r>
      <w:r w:rsidR="179B22E8" w:rsidRPr="006367F8">
        <w:rPr>
          <w:lang w:val="en-GB"/>
        </w:rPr>
        <w:t xml:space="preserve">the </w:t>
      </w:r>
      <w:r w:rsidR="5728E392" w:rsidRPr="006367F8">
        <w:rPr>
          <w:lang w:val="en-GB"/>
        </w:rPr>
        <w:t>costs of add</w:t>
      </w:r>
      <w:r w:rsidR="579535E2" w:rsidRPr="006367F8">
        <w:rPr>
          <w:lang w:val="en-GB"/>
        </w:rPr>
        <w:t>-</w:t>
      </w:r>
      <w:r w:rsidR="5728E392" w:rsidRPr="006367F8">
        <w:rPr>
          <w:lang w:val="en-GB"/>
        </w:rPr>
        <w:t>on payments for patients with NCDs</w:t>
      </w:r>
      <w:r w:rsidR="18EF8565" w:rsidRPr="006367F8">
        <w:rPr>
          <w:lang w:val="en-GB"/>
        </w:rPr>
        <w:t xml:space="preserve"> and </w:t>
      </w:r>
      <w:r w:rsidR="005D1E2F" w:rsidRPr="006367F8">
        <w:rPr>
          <w:lang w:val="en-GB"/>
        </w:rPr>
        <w:t>ECD services</w:t>
      </w:r>
      <w:r w:rsidR="000C0555" w:rsidRPr="006367F8">
        <w:rPr>
          <w:lang w:val="en-GB"/>
        </w:rPr>
        <w:t xml:space="preserve">. </w:t>
      </w:r>
      <w:r w:rsidRPr="006367F8">
        <w:rPr>
          <w:lang w:val="en-US"/>
        </w:rPr>
        <w:t xml:space="preserve">These </w:t>
      </w:r>
      <w:r w:rsidRPr="003D1533">
        <w:rPr>
          <w:lang w:val="en-US"/>
        </w:rPr>
        <w:t>costs do not depend whether the provider has a solo or group practice or they work in rural or urban setting, because the costs are related to patient characteristics only</w:t>
      </w:r>
      <w:r w:rsidR="00E25484">
        <w:rPr>
          <w:lang w:val="en-US"/>
        </w:rPr>
        <w:t>.</w:t>
      </w:r>
      <w:r w:rsidR="00A85661" w:rsidRPr="003D1533">
        <w:rPr>
          <w:lang w:val="en-US"/>
        </w:rPr>
        <w:t xml:space="preserve"> </w:t>
      </w:r>
      <w:r w:rsidR="00E25484">
        <w:rPr>
          <w:lang w:val="en-US"/>
        </w:rPr>
        <w:t>G</w:t>
      </w:r>
      <w:r w:rsidR="00445EA6" w:rsidRPr="003D1533">
        <w:rPr>
          <w:lang w:val="en-US"/>
        </w:rPr>
        <w:t>uidelines</w:t>
      </w:r>
      <w:r w:rsidR="5728E392" w:rsidRPr="003D1533">
        <w:rPr>
          <w:lang w:val="en-US"/>
        </w:rPr>
        <w:t xml:space="preserve"> define the need for laboratory tests and services provided by the </w:t>
      </w:r>
      <w:r w:rsidR="00C73F6E" w:rsidRPr="003D1533">
        <w:rPr>
          <w:lang w:val="en-US"/>
        </w:rPr>
        <w:t>FD</w:t>
      </w:r>
      <w:r w:rsidR="5728E392" w:rsidRPr="003D1533">
        <w:rPr>
          <w:lang w:val="en-US"/>
        </w:rPr>
        <w:t xml:space="preserve"> and </w:t>
      </w:r>
      <w:r w:rsidR="00C73F6E" w:rsidRPr="003D1533">
        <w:rPr>
          <w:lang w:val="en-US"/>
        </w:rPr>
        <w:t>FN</w:t>
      </w:r>
      <w:r w:rsidR="5728E392" w:rsidRPr="003D1533">
        <w:rPr>
          <w:lang w:val="en-US"/>
        </w:rPr>
        <w:t xml:space="preserve"> or other specialist</w:t>
      </w:r>
      <w:r w:rsidR="00E25484">
        <w:rPr>
          <w:lang w:val="en-US"/>
        </w:rPr>
        <w:t xml:space="preserve"> for target population groups</w:t>
      </w:r>
      <w:r w:rsidR="5728E392" w:rsidRPr="003D1533">
        <w:rPr>
          <w:lang w:val="en-US"/>
        </w:rPr>
        <w:t xml:space="preserve">. </w:t>
      </w:r>
      <w:r w:rsidR="51EFB119" w:rsidRPr="003D1533">
        <w:rPr>
          <w:lang w:val="en-US"/>
        </w:rPr>
        <w:t xml:space="preserve">The </w:t>
      </w:r>
      <w:r w:rsidR="7CCB8DB4" w:rsidRPr="003D1533">
        <w:rPr>
          <w:lang w:val="en-US"/>
        </w:rPr>
        <w:t>guideline</w:t>
      </w:r>
      <w:r w:rsidR="3F592747" w:rsidRPr="003D1533">
        <w:rPr>
          <w:lang w:val="en-US"/>
        </w:rPr>
        <w:t>s</w:t>
      </w:r>
      <w:r w:rsidR="7CCB8DB4" w:rsidRPr="003D1533">
        <w:rPr>
          <w:lang w:val="en-US"/>
        </w:rPr>
        <w:t xml:space="preserve"> for </w:t>
      </w:r>
      <w:r w:rsidR="005D1E2F">
        <w:rPr>
          <w:lang w:val="en-US"/>
        </w:rPr>
        <w:t>ECD services</w:t>
      </w:r>
      <w:r w:rsidR="00EB7231">
        <w:rPr>
          <w:lang w:val="en-US"/>
        </w:rPr>
        <w:t xml:space="preserve"> </w:t>
      </w:r>
      <w:r w:rsidR="7CCB8DB4" w:rsidRPr="003D1533">
        <w:rPr>
          <w:lang w:val="en-US"/>
        </w:rPr>
        <w:t xml:space="preserve">do not meet </w:t>
      </w:r>
      <w:r w:rsidR="3E704EB5" w:rsidRPr="003D1533">
        <w:rPr>
          <w:lang w:val="en-US"/>
        </w:rPr>
        <w:t>current</w:t>
      </w:r>
      <w:r w:rsidR="7CCB8DB4" w:rsidRPr="003D1533">
        <w:rPr>
          <w:lang w:val="en-US"/>
        </w:rPr>
        <w:t xml:space="preserve"> requirements, </w:t>
      </w:r>
      <w:r w:rsidR="0305379F" w:rsidRPr="003D1533">
        <w:rPr>
          <w:lang w:val="en-US"/>
        </w:rPr>
        <w:t xml:space="preserve">so </w:t>
      </w:r>
      <w:r w:rsidR="7CCB8DB4" w:rsidRPr="003D1533">
        <w:rPr>
          <w:lang w:val="en-US"/>
        </w:rPr>
        <w:t xml:space="preserve">expert opinion </w:t>
      </w:r>
      <w:r w:rsidR="00D90CA6" w:rsidRPr="003D1533">
        <w:rPr>
          <w:lang w:val="en-US"/>
        </w:rPr>
        <w:t xml:space="preserve">defined in the UNICEF project </w:t>
      </w:r>
      <w:r w:rsidR="7CCB8DB4" w:rsidRPr="003D1533">
        <w:rPr>
          <w:lang w:val="en-US"/>
        </w:rPr>
        <w:t>was used to assess the need</w:t>
      </w:r>
      <w:r w:rsidR="00D90CA6" w:rsidRPr="003D1533">
        <w:rPr>
          <w:lang w:val="en-US"/>
        </w:rPr>
        <w:t xml:space="preserve"> of preventive contacts</w:t>
      </w:r>
      <w:r w:rsidR="7CCB8DB4" w:rsidRPr="003D1533">
        <w:rPr>
          <w:lang w:val="en-US"/>
        </w:rPr>
        <w:t xml:space="preserve">. The </w:t>
      </w:r>
      <w:r w:rsidR="00DD6385">
        <w:rPr>
          <w:lang w:val="en-US"/>
        </w:rPr>
        <w:t>ECD</w:t>
      </w:r>
      <w:r w:rsidR="7CCB8DB4" w:rsidRPr="003D1533">
        <w:rPr>
          <w:lang w:val="en-US"/>
        </w:rPr>
        <w:t xml:space="preserve"> program includes</w:t>
      </w:r>
      <w:r w:rsidR="7CCB8DB4" w:rsidRPr="005053C3">
        <w:rPr>
          <w:lang w:val="en-GB"/>
        </w:rPr>
        <w:t xml:space="preserve"> visitations for vaccinations (excluding vaccine costs</w:t>
      </w:r>
      <w:r w:rsidR="7B4C1962" w:rsidRPr="005053C3">
        <w:rPr>
          <w:lang w:val="en-GB"/>
        </w:rPr>
        <w:t xml:space="preserve"> which are covered separately</w:t>
      </w:r>
      <w:r w:rsidR="7CCB8DB4" w:rsidRPr="005053C3">
        <w:rPr>
          <w:lang w:val="en-GB"/>
        </w:rPr>
        <w:t>).</w:t>
      </w:r>
    </w:p>
    <w:p w14:paraId="6A40665D" w14:textId="77777777" w:rsidR="005D1E2F" w:rsidRPr="003D1533" w:rsidRDefault="005D1E2F" w:rsidP="002E590D">
      <w:pPr>
        <w:pStyle w:val="NoSpacing"/>
        <w:jc w:val="both"/>
      </w:pPr>
    </w:p>
    <w:p w14:paraId="0692F986" w14:textId="569F78FE" w:rsidR="00FC00C6" w:rsidRPr="006367F8" w:rsidRDefault="00DD6385" w:rsidP="002E590D">
      <w:pPr>
        <w:pStyle w:val="Heading3"/>
        <w:spacing w:before="0" w:line="240" w:lineRule="auto"/>
        <w:ind w:left="708" w:firstLine="708"/>
        <w:rPr>
          <w:b/>
          <w:bCs/>
          <w:i/>
          <w:iCs/>
          <w:color w:val="auto"/>
          <w:lang w:val="en-GB"/>
        </w:rPr>
      </w:pPr>
      <w:bookmarkStart w:id="15" w:name="_Toc62149255"/>
      <w:r w:rsidRPr="006367F8">
        <w:rPr>
          <w:b/>
          <w:bCs/>
          <w:i/>
          <w:iCs/>
          <w:color w:val="auto"/>
          <w:lang w:val="en-GB"/>
        </w:rPr>
        <w:t xml:space="preserve">4.7.1 </w:t>
      </w:r>
      <w:r w:rsidR="263CE482" w:rsidRPr="006367F8">
        <w:rPr>
          <w:b/>
          <w:bCs/>
          <w:i/>
          <w:iCs/>
          <w:color w:val="auto"/>
          <w:lang w:val="en-GB"/>
        </w:rPr>
        <w:t>NCD package</w:t>
      </w:r>
      <w:bookmarkEnd w:id="15"/>
    </w:p>
    <w:p w14:paraId="7B2E21B3" w14:textId="3EF195F8" w:rsidR="312B981C" w:rsidRDefault="5245F4AA" w:rsidP="002E590D">
      <w:pPr>
        <w:spacing w:after="0" w:line="240" w:lineRule="auto"/>
        <w:jc w:val="both"/>
        <w:rPr>
          <w:lang w:val="en-GB"/>
        </w:rPr>
      </w:pPr>
      <w:r w:rsidRPr="006367F8">
        <w:rPr>
          <w:lang w:val="en-GB"/>
        </w:rPr>
        <w:t xml:space="preserve">The </w:t>
      </w:r>
      <w:r w:rsidR="4521FF3E" w:rsidRPr="006367F8">
        <w:rPr>
          <w:lang w:val="en-GB"/>
        </w:rPr>
        <w:t>baseline NCD</w:t>
      </w:r>
      <w:r w:rsidRPr="006367F8">
        <w:rPr>
          <w:lang w:val="en-GB"/>
        </w:rPr>
        <w:t xml:space="preserve"> package includes costs for laboratory tests</w:t>
      </w:r>
      <w:r w:rsidR="00A32557" w:rsidRPr="006367F8">
        <w:rPr>
          <w:lang w:val="en-GB"/>
        </w:rPr>
        <w:t>, procedures</w:t>
      </w:r>
      <w:r w:rsidRPr="006367F8">
        <w:rPr>
          <w:lang w:val="en-GB"/>
        </w:rPr>
        <w:t xml:space="preserve"> and services provided to chronic patients</w:t>
      </w:r>
      <w:r w:rsidR="0D3E955D" w:rsidRPr="006367F8">
        <w:rPr>
          <w:lang w:val="en-GB"/>
        </w:rPr>
        <w:t xml:space="preserve"> (see </w:t>
      </w:r>
      <w:r w:rsidR="27D8A917" w:rsidRPr="006367F8">
        <w:rPr>
          <w:lang w:val="en-GB"/>
        </w:rPr>
        <w:t>Spreads</w:t>
      </w:r>
      <w:r w:rsidR="0D3E955D" w:rsidRPr="006367F8">
        <w:rPr>
          <w:lang w:val="en-GB"/>
        </w:rPr>
        <w:t xml:space="preserve">heets </w:t>
      </w:r>
      <w:r w:rsidR="65D3F451" w:rsidRPr="006367F8">
        <w:rPr>
          <w:lang w:val="en-GB"/>
        </w:rPr>
        <w:t>D</w:t>
      </w:r>
      <w:r w:rsidR="0D3E955D" w:rsidRPr="006367F8">
        <w:rPr>
          <w:lang w:val="en-GB"/>
        </w:rPr>
        <w:t xml:space="preserve">iabetes, </w:t>
      </w:r>
      <w:r w:rsidR="44D33CD5" w:rsidRPr="006367F8">
        <w:rPr>
          <w:lang w:val="en-GB"/>
        </w:rPr>
        <w:t>H</w:t>
      </w:r>
      <w:r w:rsidR="0D3E955D" w:rsidRPr="006367F8">
        <w:rPr>
          <w:lang w:val="en-GB"/>
        </w:rPr>
        <w:t xml:space="preserve">ypertension and </w:t>
      </w:r>
      <w:r w:rsidR="00D90CA6" w:rsidRPr="006367F8">
        <w:rPr>
          <w:lang w:val="en-GB"/>
        </w:rPr>
        <w:t>CVD</w:t>
      </w:r>
      <w:r w:rsidR="6D407429" w:rsidRPr="006367F8">
        <w:rPr>
          <w:lang w:val="en-GB"/>
        </w:rPr>
        <w:t>)</w:t>
      </w:r>
      <w:r w:rsidRPr="006367F8">
        <w:rPr>
          <w:lang w:val="en-GB"/>
        </w:rPr>
        <w:t>.</w:t>
      </w:r>
      <w:r w:rsidR="70C6AFC7" w:rsidRPr="006367F8">
        <w:rPr>
          <w:lang w:val="en-GB"/>
        </w:rPr>
        <w:t xml:space="preserve"> </w:t>
      </w:r>
      <w:r w:rsidR="632FFC32" w:rsidRPr="006367F8">
        <w:rPr>
          <w:lang w:val="en-GB"/>
        </w:rPr>
        <w:t>Expert</w:t>
      </w:r>
      <w:r w:rsidR="0F728062" w:rsidRPr="006367F8">
        <w:rPr>
          <w:lang w:val="en-GB"/>
        </w:rPr>
        <w:t>-</w:t>
      </w:r>
      <w:r w:rsidR="1DEA1C69" w:rsidRPr="006367F8">
        <w:rPr>
          <w:lang w:val="en-GB"/>
        </w:rPr>
        <w:t xml:space="preserve">validated </w:t>
      </w:r>
      <w:r w:rsidR="70C6AFC7" w:rsidRPr="006367F8">
        <w:rPr>
          <w:lang w:val="en-GB"/>
        </w:rPr>
        <w:t xml:space="preserve">market prices were used </w:t>
      </w:r>
      <w:r w:rsidR="3B92D7DC" w:rsidRPr="006367F8">
        <w:rPr>
          <w:lang w:val="en-GB"/>
        </w:rPr>
        <w:t xml:space="preserve">to determine </w:t>
      </w:r>
      <w:r w:rsidR="70C6AFC7" w:rsidRPr="006367F8">
        <w:rPr>
          <w:lang w:val="en-GB"/>
        </w:rPr>
        <w:t>laboratory tests</w:t>
      </w:r>
      <w:r w:rsidR="70C6AFC7" w:rsidRPr="005053C3">
        <w:rPr>
          <w:lang w:val="en-GB"/>
        </w:rPr>
        <w:t xml:space="preserve">. For </w:t>
      </w:r>
      <w:r w:rsidR="11F0FCA5" w:rsidRPr="005053C3">
        <w:rPr>
          <w:lang w:val="en-GB"/>
        </w:rPr>
        <w:t>services</w:t>
      </w:r>
      <w:r w:rsidR="70C6AFC7" w:rsidRPr="005053C3">
        <w:rPr>
          <w:lang w:val="en-GB"/>
        </w:rPr>
        <w:t xml:space="preserve"> provided by a FD and </w:t>
      </w:r>
      <w:r w:rsidR="00C73F6E">
        <w:rPr>
          <w:lang w:val="en-GB"/>
        </w:rPr>
        <w:t>FN</w:t>
      </w:r>
      <w:r w:rsidR="70C6AFC7" w:rsidRPr="005053C3">
        <w:rPr>
          <w:lang w:val="en-GB"/>
        </w:rPr>
        <w:t>, visitation costs were calculated based on the</w:t>
      </w:r>
      <w:r w:rsidR="6C9493F0" w:rsidRPr="005053C3">
        <w:rPr>
          <w:lang w:val="en-GB"/>
        </w:rPr>
        <w:t xml:space="preserve"> monthly salary and average weekly working hours</w:t>
      </w:r>
      <w:r w:rsidR="563D37D3" w:rsidRPr="005053C3">
        <w:rPr>
          <w:lang w:val="en-GB"/>
        </w:rPr>
        <w:t xml:space="preserve"> (s</w:t>
      </w:r>
      <w:r w:rsidR="2563E8FC" w:rsidRPr="005053C3">
        <w:rPr>
          <w:lang w:val="en-GB"/>
        </w:rPr>
        <w:t>e</w:t>
      </w:r>
      <w:r w:rsidR="3EB80D77" w:rsidRPr="005053C3">
        <w:rPr>
          <w:lang w:val="en-GB"/>
        </w:rPr>
        <w:t>e</w:t>
      </w:r>
      <w:r w:rsidR="2563E8FC" w:rsidRPr="005053C3">
        <w:rPr>
          <w:lang w:val="en-GB"/>
        </w:rPr>
        <w:t xml:space="preserve"> </w:t>
      </w:r>
      <w:r w:rsidR="0FF7458B" w:rsidRPr="005053C3">
        <w:rPr>
          <w:lang w:val="en-GB"/>
        </w:rPr>
        <w:t>Spreads</w:t>
      </w:r>
      <w:r w:rsidR="2563E8FC" w:rsidRPr="005053C3">
        <w:rPr>
          <w:lang w:val="en-GB"/>
        </w:rPr>
        <w:t xml:space="preserve">heet </w:t>
      </w:r>
      <w:r w:rsidR="59650952" w:rsidRPr="005053C3">
        <w:rPr>
          <w:lang w:val="en-GB"/>
        </w:rPr>
        <w:t>V</w:t>
      </w:r>
      <w:r w:rsidR="2563E8FC" w:rsidRPr="005053C3">
        <w:rPr>
          <w:lang w:val="en-GB"/>
        </w:rPr>
        <w:t xml:space="preserve">isit </w:t>
      </w:r>
      <w:r w:rsidR="333DA8D1" w:rsidRPr="005053C3">
        <w:rPr>
          <w:lang w:val="en-GB"/>
        </w:rPr>
        <w:t>C</w:t>
      </w:r>
      <w:r w:rsidR="2563E8FC" w:rsidRPr="005053C3">
        <w:rPr>
          <w:lang w:val="en-GB"/>
        </w:rPr>
        <w:t>osts</w:t>
      </w:r>
      <w:r w:rsidR="2254F33C" w:rsidRPr="005053C3">
        <w:rPr>
          <w:lang w:val="en-GB"/>
        </w:rPr>
        <w:t>)</w:t>
      </w:r>
      <w:r w:rsidR="2563E8FC" w:rsidRPr="005053C3">
        <w:rPr>
          <w:lang w:val="en-GB"/>
        </w:rPr>
        <w:t>.</w:t>
      </w:r>
    </w:p>
    <w:p w14:paraId="551321EF" w14:textId="77777777" w:rsidR="00DD6385" w:rsidRPr="005053C3" w:rsidRDefault="00DD6385" w:rsidP="002E590D">
      <w:pPr>
        <w:spacing w:after="0" w:line="240" w:lineRule="auto"/>
        <w:jc w:val="both"/>
        <w:rPr>
          <w:lang w:val="en-GB"/>
        </w:rPr>
      </w:pPr>
    </w:p>
    <w:p w14:paraId="2B6D0B65" w14:textId="5A09BBAB" w:rsidR="00FC00C6" w:rsidRDefault="4A4A39A1" w:rsidP="002E590D">
      <w:pPr>
        <w:spacing w:after="0" w:line="240" w:lineRule="auto"/>
        <w:jc w:val="both"/>
        <w:rPr>
          <w:lang w:val="en-GB"/>
        </w:rPr>
      </w:pPr>
      <w:r w:rsidRPr="005053C3">
        <w:rPr>
          <w:lang w:val="en-GB"/>
        </w:rPr>
        <w:t xml:space="preserve">To </w:t>
      </w:r>
      <w:r w:rsidR="231DE156" w:rsidRPr="005053C3">
        <w:rPr>
          <w:lang w:val="en-GB"/>
        </w:rPr>
        <w:t xml:space="preserve">calculate </w:t>
      </w:r>
      <w:r w:rsidRPr="005053C3">
        <w:rPr>
          <w:lang w:val="en-GB"/>
        </w:rPr>
        <w:t xml:space="preserve">a summarized cost for </w:t>
      </w:r>
      <w:r w:rsidR="10077CAE" w:rsidRPr="005053C3">
        <w:rPr>
          <w:lang w:val="en-GB"/>
        </w:rPr>
        <w:t>i</w:t>
      </w:r>
      <w:r w:rsidR="00FC00C6" w:rsidRPr="005053C3">
        <w:rPr>
          <w:lang w:val="en-GB"/>
        </w:rPr>
        <w:t>ntervention</w:t>
      </w:r>
      <w:r w:rsidR="06958B4C" w:rsidRPr="005053C3">
        <w:rPr>
          <w:lang w:val="en-GB"/>
        </w:rPr>
        <w:t>s, the intervention</w:t>
      </w:r>
      <w:r w:rsidR="1628CF15" w:rsidRPr="005053C3">
        <w:rPr>
          <w:lang w:val="en-GB"/>
        </w:rPr>
        <w:t xml:space="preserve"> </w:t>
      </w:r>
      <w:r w:rsidR="00FC00C6" w:rsidRPr="005053C3">
        <w:rPr>
          <w:lang w:val="en-GB"/>
        </w:rPr>
        <w:t xml:space="preserve">cost </w:t>
      </w:r>
      <w:r w:rsidR="69E0EFF2" w:rsidRPr="005053C3">
        <w:rPr>
          <w:lang w:val="en-GB"/>
        </w:rPr>
        <w:t xml:space="preserve">(consultation </w:t>
      </w:r>
      <w:r w:rsidR="007F209B" w:rsidRPr="005053C3">
        <w:rPr>
          <w:lang w:val="en-GB"/>
        </w:rPr>
        <w:t>and</w:t>
      </w:r>
      <w:r w:rsidR="69E0EFF2" w:rsidRPr="005053C3">
        <w:rPr>
          <w:lang w:val="en-GB"/>
        </w:rPr>
        <w:t xml:space="preserve"> laboratory test)</w:t>
      </w:r>
      <w:r w:rsidR="00FC00C6" w:rsidRPr="005053C3">
        <w:rPr>
          <w:lang w:val="en-GB"/>
        </w:rPr>
        <w:t xml:space="preserve"> was multiplied </w:t>
      </w:r>
      <w:r w:rsidR="19165C22" w:rsidRPr="005053C3">
        <w:rPr>
          <w:lang w:val="en-GB"/>
        </w:rPr>
        <w:t xml:space="preserve">by the </w:t>
      </w:r>
      <w:r w:rsidR="00FC00C6" w:rsidRPr="005053C3">
        <w:rPr>
          <w:lang w:val="en-GB"/>
        </w:rPr>
        <w:t>target population</w:t>
      </w:r>
      <w:r w:rsidR="6ACBBE62" w:rsidRPr="005053C3">
        <w:rPr>
          <w:lang w:val="en-GB"/>
        </w:rPr>
        <w:t>,</w:t>
      </w:r>
      <w:r w:rsidR="4596E68D" w:rsidRPr="005053C3">
        <w:rPr>
          <w:lang w:val="en-GB"/>
        </w:rPr>
        <w:t xml:space="preserve"> accounting for </w:t>
      </w:r>
      <w:r w:rsidR="1A7F0D08" w:rsidRPr="005053C3">
        <w:rPr>
          <w:lang w:val="en-GB"/>
        </w:rPr>
        <w:t>the number of</w:t>
      </w:r>
      <w:r w:rsidR="00FC00C6" w:rsidRPr="005053C3">
        <w:rPr>
          <w:lang w:val="en-GB"/>
        </w:rPr>
        <w:t xml:space="preserve"> times the intervention </w:t>
      </w:r>
      <w:r w:rsidR="185126F0" w:rsidRPr="005053C3">
        <w:rPr>
          <w:lang w:val="en-GB"/>
        </w:rPr>
        <w:t xml:space="preserve">is </w:t>
      </w:r>
      <w:r w:rsidR="00FC00C6" w:rsidRPr="005053C3">
        <w:rPr>
          <w:lang w:val="en-GB"/>
        </w:rPr>
        <w:t>need</w:t>
      </w:r>
      <w:r w:rsidR="03CEE68A" w:rsidRPr="005053C3">
        <w:rPr>
          <w:lang w:val="en-GB"/>
        </w:rPr>
        <w:t>ed</w:t>
      </w:r>
      <w:r w:rsidR="00FC00C6" w:rsidRPr="005053C3">
        <w:rPr>
          <w:lang w:val="en-GB"/>
        </w:rPr>
        <w:t xml:space="preserve"> annually. </w:t>
      </w:r>
    </w:p>
    <w:p w14:paraId="427173E6" w14:textId="77777777" w:rsidR="00DD6385" w:rsidRPr="005053C3" w:rsidRDefault="00DD6385" w:rsidP="002E590D">
      <w:pPr>
        <w:spacing w:after="0" w:line="240" w:lineRule="auto"/>
        <w:jc w:val="both"/>
        <w:rPr>
          <w:lang w:val="en-GB"/>
        </w:rPr>
      </w:pPr>
    </w:p>
    <w:p w14:paraId="686259BE" w14:textId="15782429" w:rsidR="00FC00C6" w:rsidRDefault="5728E392" w:rsidP="002E590D">
      <w:pPr>
        <w:spacing w:after="0" w:line="240" w:lineRule="auto"/>
        <w:jc w:val="both"/>
        <w:rPr>
          <w:i/>
          <w:iCs/>
          <w:lang w:val="en-GB"/>
        </w:rPr>
      </w:pPr>
      <w:r w:rsidRPr="005053C3">
        <w:rPr>
          <w:i/>
          <w:iCs/>
          <w:lang w:val="en-GB"/>
        </w:rPr>
        <w:t>Summarised cost per program</w:t>
      </w:r>
      <w:r w:rsidR="3440B50A" w:rsidRPr="005053C3">
        <w:rPr>
          <w:i/>
          <w:iCs/>
          <w:lang w:val="en-GB"/>
        </w:rPr>
        <w:t xml:space="preserve"> </w:t>
      </w:r>
      <w:r w:rsidRPr="005053C3">
        <w:rPr>
          <w:i/>
          <w:iCs/>
          <w:lang w:val="en-GB"/>
        </w:rPr>
        <w:t>= intervention1*population in need1*number of interventions annually1+ intervention2*population in need2*number of interventions annually2+……</w:t>
      </w:r>
    </w:p>
    <w:p w14:paraId="3D0FF80F" w14:textId="77777777" w:rsidR="00DD6385" w:rsidRPr="005053C3" w:rsidRDefault="00DD6385" w:rsidP="002E590D">
      <w:pPr>
        <w:spacing w:after="0" w:line="240" w:lineRule="auto"/>
        <w:jc w:val="both"/>
        <w:rPr>
          <w:i/>
          <w:iCs/>
          <w:lang w:val="en-GB"/>
        </w:rPr>
      </w:pPr>
    </w:p>
    <w:p w14:paraId="32B9D90B" w14:textId="28AC3603" w:rsidR="39CAB5FE" w:rsidRDefault="00FC00C6" w:rsidP="002E590D">
      <w:pPr>
        <w:spacing w:after="0" w:line="240" w:lineRule="auto"/>
        <w:jc w:val="both"/>
        <w:rPr>
          <w:lang w:val="en-GB"/>
        </w:rPr>
      </w:pPr>
      <w:r w:rsidRPr="005053C3">
        <w:rPr>
          <w:lang w:val="en-GB"/>
        </w:rPr>
        <w:t xml:space="preserve">The summarised cost per program was used to calculate per capita payment </w:t>
      </w:r>
      <w:r w:rsidR="0F83302E" w:rsidRPr="005053C3">
        <w:rPr>
          <w:lang w:val="en-GB"/>
        </w:rPr>
        <w:t xml:space="preserve">by </w:t>
      </w:r>
      <w:r w:rsidRPr="005053C3">
        <w:rPr>
          <w:lang w:val="en-GB"/>
        </w:rPr>
        <w:t xml:space="preserve">dividing </w:t>
      </w:r>
      <w:r w:rsidR="52FDDE75" w:rsidRPr="005053C3">
        <w:rPr>
          <w:lang w:val="en-GB"/>
        </w:rPr>
        <w:t>it</w:t>
      </w:r>
      <w:r w:rsidRPr="005053C3">
        <w:rPr>
          <w:lang w:val="en-GB"/>
        </w:rPr>
        <w:t xml:space="preserve"> </w:t>
      </w:r>
      <w:r w:rsidR="2316B969" w:rsidRPr="005053C3">
        <w:rPr>
          <w:lang w:val="en-GB"/>
        </w:rPr>
        <w:t xml:space="preserve">by </w:t>
      </w:r>
      <w:r w:rsidRPr="005053C3">
        <w:rPr>
          <w:lang w:val="en-GB"/>
        </w:rPr>
        <w:t>the population in need</w:t>
      </w:r>
      <w:r w:rsidR="39CAB5FE" w:rsidRPr="005053C3">
        <w:rPr>
          <w:lang w:val="en-GB"/>
        </w:rPr>
        <w:t>.</w:t>
      </w:r>
      <w:r w:rsidR="5E5468C3" w:rsidRPr="005053C3">
        <w:rPr>
          <w:lang w:val="en-GB"/>
        </w:rPr>
        <w:t xml:space="preserve"> </w:t>
      </w:r>
      <w:r w:rsidR="39CAB5FE" w:rsidRPr="005053C3">
        <w:rPr>
          <w:lang w:val="en-GB"/>
        </w:rPr>
        <w:t>The target population was defined based on pervious analysis</w:t>
      </w:r>
      <w:r w:rsidR="00D90CA6" w:rsidRPr="005053C3">
        <w:rPr>
          <w:lang w:val="en-GB"/>
        </w:rPr>
        <w:t xml:space="preserve"> and NCDC </w:t>
      </w:r>
      <w:r w:rsidR="00FF07E0" w:rsidRPr="005053C3">
        <w:rPr>
          <w:lang w:val="en-GB"/>
        </w:rPr>
        <w:t>data</w:t>
      </w:r>
      <w:r w:rsidR="39CAB5FE" w:rsidRPr="005053C3">
        <w:rPr>
          <w:lang w:val="en-GB"/>
        </w:rPr>
        <w:t xml:space="preserve"> stating the prevalence of the diseases.</w:t>
      </w:r>
    </w:p>
    <w:p w14:paraId="71A0CD68" w14:textId="77777777" w:rsidR="00DD6385" w:rsidRPr="005053C3" w:rsidRDefault="00DD6385" w:rsidP="002E590D">
      <w:pPr>
        <w:spacing w:after="0" w:line="240" w:lineRule="auto"/>
        <w:jc w:val="both"/>
        <w:rPr>
          <w:lang w:val="en-GB"/>
        </w:rPr>
      </w:pPr>
    </w:p>
    <w:p w14:paraId="7CA4DE07" w14:textId="40F4F116" w:rsidR="00FC00C6" w:rsidRDefault="00FC00C6" w:rsidP="002E590D">
      <w:pPr>
        <w:spacing w:after="0" w:line="240" w:lineRule="auto"/>
        <w:jc w:val="both"/>
        <w:rPr>
          <w:i/>
          <w:iCs/>
          <w:lang w:val="en-GB"/>
        </w:rPr>
      </w:pPr>
      <w:r w:rsidRPr="005053C3">
        <w:rPr>
          <w:i/>
          <w:iCs/>
          <w:lang w:val="en-GB"/>
        </w:rPr>
        <w:t>Per capita cost for priority service program</w:t>
      </w:r>
      <w:r w:rsidR="67A687A5" w:rsidRPr="005053C3">
        <w:rPr>
          <w:i/>
          <w:iCs/>
          <w:lang w:val="en-GB"/>
        </w:rPr>
        <w:t xml:space="preserve"> </w:t>
      </w:r>
      <w:r w:rsidRPr="005053C3">
        <w:rPr>
          <w:i/>
          <w:iCs/>
          <w:lang w:val="en-GB"/>
        </w:rPr>
        <w:t>= Summarised cost per program/population in need</w:t>
      </w:r>
    </w:p>
    <w:p w14:paraId="0FD1BED3" w14:textId="77777777" w:rsidR="00DD6385" w:rsidRPr="005053C3" w:rsidRDefault="00DD6385" w:rsidP="002E590D">
      <w:pPr>
        <w:spacing w:after="0" w:line="240" w:lineRule="auto"/>
        <w:jc w:val="both"/>
        <w:rPr>
          <w:i/>
          <w:iCs/>
          <w:lang w:val="en-GB"/>
        </w:rPr>
      </w:pPr>
    </w:p>
    <w:p w14:paraId="3DD12AC9" w14:textId="7C92525B" w:rsidR="00FC00C6" w:rsidRDefault="00FC00C6" w:rsidP="002E590D">
      <w:pPr>
        <w:spacing w:after="0" w:line="240" w:lineRule="auto"/>
        <w:jc w:val="both"/>
        <w:rPr>
          <w:lang w:val="en-GB"/>
        </w:rPr>
      </w:pPr>
      <w:r w:rsidRPr="005053C3">
        <w:rPr>
          <w:lang w:val="en-GB"/>
        </w:rPr>
        <w:t>Cost weights were used to calculate weighted average capitation for diabetes</w:t>
      </w:r>
      <w:r w:rsidR="00FF07E0" w:rsidRPr="005053C3">
        <w:rPr>
          <w:lang w:val="en-GB"/>
        </w:rPr>
        <w:t>, CVD</w:t>
      </w:r>
      <w:r w:rsidRPr="005053C3">
        <w:rPr>
          <w:lang w:val="en-GB"/>
        </w:rPr>
        <w:t xml:space="preserve"> and hypertension </w:t>
      </w:r>
      <w:r w:rsidRPr="00FC710A">
        <w:rPr>
          <w:lang w:val="en-GB"/>
        </w:rPr>
        <w:t>patients</w:t>
      </w:r>
      <w:r w:rsidR="5DD89896" w:rsidRPr="00FC710A">
        <w:rPr>
          <w:lang w:val="en-GB"/>
        </w:rPr>
        <w:t xml:space="preserve"> (see </w:t>
      </w:r>
      <w:r w:rsidR="433B6D74" w:rsidRPr="00FC710A">
        <w:rPr>
          <w:lang w:val="en-GB"/>
        </w:rPr>
        <w:t>S</w:t>
      </w:r>
      <w:r w:rsidR="7622D7A0" w:rsidRPr="00FC710A">
        <w:rPr>
          <w:lang w:val="en-GB"/>
        </w:rPr>
        <w:t>preads</w:t>
      </w:r>
      <w:r w:rsidR="5DD89896" w:rsidRPr="00FC710A">
        <w:rPr>
          <w:lang w:val="en-GB"/>
        </w:rPr>
        <w:t xml:space="preserve">heet NCD </w:t>
      </w:r>
      <w:r w:rsidR="1CAAC246" w:rsidRPr="00FC710A">
        <w:rPr>
          <w:lang w:val="en-GB"/>
        </w:rPr>
        <w:t>S</w:t>
      </w:r>
      <w:r w:rsidR="5DD89896" w:rsidRPr="00FC710A">
        <w:rPr>
          <w:lang w:val="en-GB"/>
        </w:rPr>
        <w:t>ummary)</w:t>
      </w:r>
      <w:r w:rsidRPr="00FC710A">
        <w:rPr>
          <w:lang w:val="en-GB"/>
        </w:rPr>
        <w:t>.</w:t>
      </w:r>
    </w:p>
    <w:p w14:paraId="146E659F" w14:textId="77777777" w:rsidR="00DD6385" w:rsidRPr="00FC710A" w:rsidRDefault="00DD6385" w:rsidP="002E590D">
      <w:pPr>
        <w:spacing w:after="0" w:line="240" w:lineRule="auto"/>
        <w:jc w:val="both"/>
        <w:rPr>
          <w:lang w:val="en-GB"/>
        </w:rPr>
      </w:pPr>
    </w:p>
    <w:p w14:paraId="3461CB18" w14:textId="6A3D4247" w:rsidR="0EFBA7AE" w:rsidRDefault="0EFBA7AE" w:rsidP="002E590D">
      <w:pPr>
        <w:spacing w:after="0" w:line="240" w:lineRule="auto"/>
        <w:jc w:val="both"/>
        <w:rPr>
          <w:lang w:val="en-GB"/>
        </w:rPr>
      </w:pPr>
      <w:r w:rsidRPr="00FC710A">
        <w:rPr>
          <w:lang w:val="en-GB"/>
        </w:rPr>
        <w:t xml:space="preserve">To calculate the budget impact, the baseline scenario </w:t>
      </w:r>
      <w:r w:rsidR="3DF0D2FC" w:rsidRPr="00FC710A">
        <w:rPr>
          <w:lang w:val="en-GB"/>
        </w:rPr>
        <w:t xml:space="preserve">assumes </w:t>
      </w:r>
      <w:r w:rsidRPr="00FC710A">
        <w:rPr>
          <w:lang w:val="en-GB"/>
        </w:rPr>
        <w:t>that 70% of</w:t>
      </w:r>
      <w:r w:rsidR="00FC710A" w:rsidRPr="00FC710A">
        <w:rPr>
          <w:lang w:val="en-GB"/>
        </w:rPr>
        <w:t xml:space="preserve"> CVD,</w:t>
      </w:r>
      <w:r w:rsidRPr="00FC710A">
        <w:rPr>
          <w:lang w:val="en-GB"/>
        </w:rPr>
        <w:t xml:space="preserve"> hypertension and diabetes patients will be covered</w:t>
      </w:r>
      <w:r w:rsidR="1F5D0496" w:rsidRPr="00FC710A">
        <w:rPr>
          <w:lang w:val="en-GB"/>
        </w:rPr>
        <w:t>.</w:t>
      </w:r>
    </w:p>
    <w:p w14:paraId="4B247C81" w14:textId="77777777" w:rsidR="00DD6385" w:rsidRPr="00FC710A" w:rsidRDefault="00DD6385" w:rsidP="002E590D">
      <w:pPr>
        <w:spacing w:after="0" w:line="240" w:lineRule="auto"/>
        <w:jc w:val="both"/>
        <w:rPr>
          <w:lang w:val="en-GB"/>
        </w:rPr>
      </w:pPr>
    </w:p>
    <w:p w14:paraId="0453D86F" w14:textId="6AB71F7A" w:rsidR="3F3E3F6A" w:rsidRPr="006367F8" w:rsidRDefault="00DD6385" w:rsidP="002E590D">
      <w:pPr>
        <w:pStyle w:val="Heading3"/>
        <w:spacing w:before="0" w:line="240" w:lineRule="auto"/>
        <w:ind w:left="708" w:firstLine="708"/>
        <w:rPr>
          <w:b/>
          <w:bCs/>
          <w:i/>
          <w:iCs/>
          <w:color w:val="auto"/>
          <w:lang w:val="en-GB"/>
        </w:rPr>
      </w:pPr>
      <w:bookmarkStart w:id="16" w:name="_Toc62149256"/>
      <w:r w:rsidRPr="006367F8">
        <w:rPr>
          <w:b/>
          <w:bCs/>
          <w:i/>
          <w:iCs/>
          <w:color w:val="auto"/>
          <w:lang w:val="en-GB"/>
        </w:rPr>
        <w:t>4.7.2 ECD services</w:t>
      </w:r>
      <w:bookmarkEnd w:id="16"/>
    </w:p>
    <w:p w14:paraId="65FB6F44" w14:textId="4E5A26AF" w:rsidR="00FC00C6" w:rsidRDefault="00FC00C6" w:rsidP="002E590D">
      <w:pPr>
        <w:spacing w:after="0" w:line="240" w:lineRule="auto"/>
        <w:jc w:val="both"/>
        <w:rPr>
          <w:lang w:val="en-GB"/>
        </w:rPr>
      </w:pPr>
      <w:r w:rsidRPr="006367F8">
        <w:rPr>
          <w:lang w:val="en-GB"/>
        </w:rPr>
        <w:t xml:space="preserve">For </w:t>
      </w:r>
      <w:r w:rsidR="7A6EA016" w:rsidRPr="006367F8">
        <w:rPr>
          <w:lang w:val="en-GB"/>
        </w:rPr>
        <w:t xml:space="preserve">the </w:t>
      </w:r>
      <w:r w:rsidR="00DD6385" w:rsidRPr="006367F8">
        <w:rPr>
          <w:lang w:val="en-GB"/>
        </w:rPr>
        <w:t>ECD program</w:t>
      </w:r>
      <w:r w:rsidRPr="006367F8">
        <w:rPr>
          <w:lang w:val="en-GB"/>
        </w:rPr>
        <w:t xml:space="preserve"> </w:t>
      </w:r>
      <w:r w:rsidR="309C3149" w:rsidRPr="006367F8">
        <w:rPr>
          <w:lang w:val="en-GB"/>
        </w:rPr>
        <w:t>(</w:t>
      </w:r>
      <w:r w:rsidR="00DD6385" w:rsidRPr="006367F8">
        <w:rPr>
          <w:lang w:val="en-GB"/>
        </w:rPr>
        <w:t xml:space="preserve">children </w:t>
      </w:r>
      <w:r w:rsidRPr="006367F8">
        <w:rPr>
          <w:lang w:val="en-GB"/>
        </w:rPr>
        <w:t>up to 5 years</w:t>
      </w:r>
      <w:r w:rsidR="5B90BDCE" w:rsidRPr="006367F8">
        <w:rPr>
          <w:lang w:val="en-GB"/>
        </w:rPr>
        <w:t>)</w:t>
      </w:r>
      <w:r w:rsidRPr="006367F8">
        <w:rPr>
          <w:lang w:val="en-GB"/>
        </w:rPr>
        <w:t xml:space="preserve">, a list of visits </w:t>
      </w:r>
      <w:r w:rsidR="41672151" w:rsidRPr="006367F8">
        <w:rPr>
          <w:lang w:val="en-GB"/>
        </w:rPr>
        <w:t>with</w:t>
      </w:r>
      <w:r w:rsidR="10641AA3" w:rsidRPr="006367F8">
        <w:rPr>
          <w:lang w:val="en-GB"/>
        </w:rPr>
        <w:t xml:space="preserve"> </w:t>
      </w:r>
      <w:r w:rsidR="2E6AD4E6" w:rsidRPr="006367F8">
        <w:rPr>
          <w:lang w:val="en-GB"/>
        </w:rPr>
        <w:t xml:space="preserve">a </w:t>
      </w:r>
      <w:r w:rsidR="00C73F6E" w:rsidRPr="006367F8">
        <w:rPr>
          <w:lang w:val="en-GB"/>
        </w:rPr>
        <w:t>FD</w:t>
      </w:r>
      <w:r w:rsidR="10641AA3" w:rsidRPr="006367F8">
        <w:rPr>
          <w:lang w:val="en-GB"/>
        </w:rPr>
        <w:t xml:space="preserve"> or </w:t>
      </w:r>
      <w:r w:rsidR="00C73F6E" w:rsidRPr="006367F8">
        <w:rPr>
          <w:lang w:val="en-GB"/>
        </w:rPr>
        <w:t>FN</w:t>
      </w:r>
      <w:r w:rsidR="10641AA3" w:rsidRPr="006367F8">
        <w:rPr>
          <w:lang w:val="en-GB"/>
        </w:rPr>
        <w:t xml:space="preserve"> </w:t>
      </w:r>
      <w:r w:rsidR="54F812EA" w:rsidRPr="006367F8">
        <w:rPr>
          <w:lang w:val="en-GB"/>
        </w:rPr>
        <w:t>(</w:t>
      </w:r>
      <w:r w:rsidR="10641AA3" w:rsidRPr="006367F8">
        <w:rPr>
          <w:lang w:val="en-GB"/>
        </w:rPr>
        <w:t>on site, remote</w:t>
      </w:r>
      <w:r w:rsidR="30DF3A13" w:rsidRPr="006367F8">
        <w:rPr>
          <w:lang w:val="en-GB"/>
        </w:rPr>
        <w:t>,</w:t>
      </w:r>
      <w:r w:rsidR="10641AA3" w:rsidRPr="006367F8">
        <w:rPr>
          <w:lang w:val="en-GB"/>
        </w:rPr>
        <w:t xml:space="preserve"> or </w:t>
      </w:r>
      <w:r w:rsidR="3F49942A" w:rsidRPr="006367F8">
        <w:rPr>
          <w:lang w:val="en-GB"/>
        </w:rPr>
        <w:t>at</w:t>
      </w:r>
      <w:r w:rsidR="10641AA3" w:rsidRPr="006367F8">
        <w:rPr>
          <w:lang w:val="en-GB"/>
        </w:rPr>
        <w:t xml:space="preserve"> home</w:t>
      </w:r>
      <w:r w:rsidR="652E2348" w:rsidRPr="006367F8">
        <w:rPr>
          <w:lang w:val="en-GB"/>
        </w:rPr>
        <w:t>)</w:t>
      </w:r>
      <w:r w:rsidR="10641AA3" w:rsidRPr="006367F8">
        <w:rPr>
          <w:lang w:val="en-GB"/>
        </w:rPr>
        <w:t xml:space="preserve"> </w:t>
      </w:r>
      <w:r w:rsidRPr="006367F8">
        <w:rPr>
          <w:lang w:val="en-GB"/>
        </w:rPr>
        <w:t xml:space="preserve">was </w:t>
      </w:r>
      <w:r w:rsidR="0E705AFE" w:rsidRPr="006367F8">
        <w:rPr>
          <w:lang w:val="en-GB"/>
        </w:rPr>
        <w:t xml:space="preserve">provided </w:t>
      </w:r>
      <w:r w:rsidRPr="006367F8">
        <w:rPr>
          <w:lang w:val="en-GB"/>
        </w:rPr>
        <w:t>by an expert group</w:t>
      </w:r>
      <w:r w:rsidR="00FF07E0" w:rsidRPr="006367F8">
        <w:rPr>
          <w:lang w:val="en-GB"/>
        </w:rPr>
        <w:t xml:space="preserve"> working jointly with UNICEF to define the scope of services</w:t>
      </w:r>
      <w:r w:rsidR="318DA134" w:rsidRPr="006367F8">
        <w:rPr>
          <w:lang w:val="en-GB"/>
        </w:rPr>
        <w:t xml:space="preserve"> (see </w:t>
      </w:r>
      <w:r w:rsidR="7942BA00" w:rsidRPr="006367F8">
        <w:rPr>
          <w:lang w:val="en-GB"/>
        </w:rPr>
        <w:t>S</w:t>
      </w:r>
      <w:r w:rsidR="4C021E08" w:rsidRPr="006367F8">
        <w:rPr>
          <w:lang w:val="en-GB"/>
        </w:rPr>
        <w:t>preads</w:t>
      </w:r>
      <w:r w:rsidR="318DA134" w:rsidRPr="006367F8">
        <w:rPr>
          <w:lang w:val="en-GB"/>
        </w:rPr>
        <w:t>heet Child Health)</w:t>
      </w:r>
      <w:r w:rsidRPr="006367F8">
        <w:rPr>
          <w:lang w:val="en-GB"/>
        </w:rPr>
        <w:t xml:space="preserve">. </w:t>
      </w:r>
      <w:r w:rsidR="7E2D88CF" w:rsidRPr="006367F8">
        <w:rPr>
          <w:lang w:val="en-GB"/>
        </w:rPr>
        <w:t xml:space="preserve">For remote </w:t>
      </w:r>
      <w:r w:rsidR="7E2D88CF" w:rsidRPr="005053C3">
        <w:rPr>
          <w:lang w:val="en-GB"/>
        </w:rPr>
        <w:t>and home visits</w:t>
      </w:r>
      <w:r w:rsidR="2BB17757" w:rsidRPr="005053C3">
        <w:rPr>
          <w:lang w:val="en-GB"/>
        </w:rPr>
        <w:t>,</w:t>
      </w:r>
      <w:r w:rsidR="7E2D88CF" w:rsidRPr="005053C3">
        <w:rPr>
          <w:lang w:val="en-GB"/>
        </w:rPr>
        <w:t xml:space="preserve"> separate calculations were conducted </w:t>
      </w:r>
      <w:r w:rsidR="00FF07E0" w:rsidRPr="005053C3">
        <w:rPr>
          <w:lang w:val="en-GB"/>
        </w:rPr>
        <w:t>considering</w:t>
      </w:r>
      <w:r w:rsidR="7E2D88CF" w:rsidRPr="005053C3">
        <w:rPr>
          <w:lang w:val="en-GB"/>
        </w:rPr>
        <w:t xml:space="preserve"> that </w:t>
      </w:r>
      <w:r w:rsidR="40D5B37A" w:rsidRPr="005053C3">
        <w:rPr>
          <w:lang w:val="en-GB"/>
        </w:rPr>
        <w:t>remote</w:t>
      </w:r>
      <w:r w:rsidR="7E2D88CF" w:rsidRPr="005053C3">
        <w:rPr>
          <w:lang w:val="en-GB"/>
        </w:rPr>
        <w:t xml:space="preserve"> </w:t>
      </w:r>
      <w:r w:rsidR="074B52D0" w:rsidRPr="005053C3">
        <w:rPr>
          <w:lang w:val="en-GB"/>
        </w:rPr>
        <w:t>visits</w:t>
      </w:r>
      <w:r w:rsidR="7E2D88CF" w:rsidRPr="005053C3">
        <w:rPr>
          <w:lang w:val="en-GB"/>
        </w:rPr>
        <w:t xml:space="preserve"> are shorter</w:t>
      </w:r>
      <w:r w:rsidR="3DD574A8" w:rsidRPr="005053C3">
        <w:rPr>
          <w:lang w:val="en-GB"/>
        </w:rPr>
        <w:t xml:space="preserve"> (15 min)</w:t>
      </w:r>
      <w:r w:rsidR="7E2D88CF" w:rsidRPr="005053C3">
        <w:rPr>
          <w:lang w:val="en-GB"/>
        </w:rPr>
        <w:t xml:space="preserve"> and home </w:t>
      </w:r>
      <w:r w:rsidR="0001269B" w:rsidRPr="005053C3">
        <w:rPr>
          <w:lang w:val="en-GB"/>
        </w:rPr>
        <w:t>visits</w:t>
      </w:r>
      <w:r w:rsidR="7E2D88CF" w:rsidRPr="005053C3">
        <w:rPr>
          <w:lang w:val="en-GB"/>
        </w:rPr>
        <w:t xml:space="preserve"> </w:t>
      </w:r>
      <w:r w:rsidR="265D7B04" w:rsidRPr="005053C3">
        <w:rPr>
          <w:lang w:val="en-GB"/>
        </w:rPr>
        <w:t>longer (60 min).</w:t>
      </w:r>
    </w:p>
    <w:p w14:paraId="738AF8B7" w14:textId="77777777" w:rsidR="000316F8" w:rsidRPr="005053C3" w:rsidRDefault="000316F8" w:rsidP="002E590D">
      <w:pPr>
        <w:spacing w:after="0" w:line="240" w:lineRule="auto"/>
        <w:jc w:val="both"/>
        <w:rPr>
          <w:lang w:val="en-GB"/>
        </w:rPr>
      </w:pPr>
    </w:p>
    <w:p w14:paraId="583B9D17" w14:textId="357468F6" w:rsidR="00FC00C6" w:rsidRDefault="00FC00C6" w:rsidP="002E590D">
      <w:pPr>
        <w:spacing w:after="0" w:line="240" w:lineRule="auto"/>
        <w:jc w:val="both"/>
        <w:rPr>
          <w:lang w:val="en-GB"/>
        </w:rPr>
      </w:pPr>
      <w:r w:rsidRPr="005053C3">
        <w:rPr>
          <w:lang w:val="en-GB"/>
        </w:rPr>
        <w:t xml:space="preserve">The per capita costs were defined by dividing the cost of delivering the described services to </w:t>
      </w:r>
      <w:r w:rsidR="08F452F4" w:rsidRPr="005053C3">
        <w:rPr>
          <w:lang w:val="en-GB"/>
        </w:rPr>
        <w:t xml:space="preserve">the </w:t>
      </w:r>
      <w:r w:rsidRPr="005053C3">
        <w:rPr>
          <w:lang w:val="en-GB"/>
        </w:rPr>
        <w:t xml:space="preserve">target population </w:t>
      </w:r>
      <w:r w:rsidR="0F50349C" w:rsidRPr="005053C3">
        <w:rPr>
          <w:lang w:val="en-GB"/>
        </w:rPr>
        <w:t xml:space="preserve">by </w:t>
      </w:r>
      <w:r w:rsidRPr="005053C3">
        <w:rPr>
          <w:lang w:val="en-GB"/>
        </w:rPr>
        <w:t>the total population in need</w:t>
      </w:r>
      <w:r w:rsidR="26BFFFDC" w:rsidRPr="005053C3">
        <w:rPr>
          <w:lang w:val="en-GB"/>
        </w:rPr>
        <w:t>.</w:t>
      </w:r>
      <w:r w:rsidR="3B9D3061" w:rsidRPr="005053C3">
        <w:rPr>
          <w:lang w:val="en-GB"/>
        </w:rPr>
        <w:t xml:space="preserve"> </w:t>
      </w:r>
      <w:r w:rsidR="0A8C6107" w:rsidRPr="005053C3">
        <w:rPr>
          <w:lang w:val="en-GB"/>
        </w:rPr>
        <w:t>T</w:t>
      </w:r>
      <w:r w:rsidRPr="005053C3">
        <w:rPr>
          <w:lang w:val="en-GB"/>
        </w:rPr>
        <w:t xml:space="preserve">reatment assumptions are taken from the national guidelines to assure relevance </w:t>
      </w:r>
      <w:r w:rsidR="48882B63" w:rsidRPr="005053C3">
        <w:rPr>
          <w:lang w:val="en-GB"/>
        </w:rPr>
        <w:t>to</w:t>
      </w:r>
      <w:r w:rsidRPr="005053C3">
        <w:rPr>
          <w:lang w:val="en-GB"/>
        </w:rPr>
        <w:t xml:space="preserve"> </w:t>
      </w:r>
      <w:r w:rsidR="2E272A69" w:rsidRPr="005053C3">
        <w:rPr>
          <w:lang w:val="en-GB"/>
        </w:rPr>
        <w:t xml:space="preserve">the </w:t>
      </w:r>
      <w:r w:rsidRPr="005053C3">
        <w:rPr>
          <w:lang w:val="en-GB"/>
        </w:rPr>
        <w:t>Georgian context. Still, the choice and frequency of key interventions is open for discussion. One can easily revise the costing model by adding/modifying interventions, target groups</w:t>
      </w:r>
      <w:r w:rsidR="2F6F947B" w:rsidRPr="005053C3">
        <w:rPr>
          <w:lang w:val="en-GB"/>
        </w:rPr>
        <w:t>,</w:t>
      </w:r>
      <w:r w:rsidRPr="005053C3">
        <w:rPr>
          <w:lang w:val="en-GB"/>
        </w:rPr>
        <w:t xml:space="preserve"> or cost objects. </w:t>
      </w:r>
    </w:p>
    <w:p w14:paraId="4DEB6F2C" w14:textId="77777777" w:rsidR="000316F8" w:rsidRPr="005053C3" w:rsidRDefault="000316F8" w:rsidP="002E590D">
      <w:pPr>
        <w:spacing w:after="0" w:line="240" w:lineRule="auto"/>
        <w:jc w:val="both"/>
        <w:rPr>
          <w:lang w:val="en-GB"/>
        </w:rPr>
      </w:pPr>
    </w:p>
    <w:p w14:paraId="51C32F2B" w14:textId="7B215708" w:rsidR="00866FDD" w:rsidRDefault="1F314AAA" w:rsidP="002E590D">
      <w:pPr>
        <w:spacing w:after="0" w:line="240" w:lineRule="auto"/>
        <w:jc w:val="both"/>
        <w:rPr>
          <w:lang w:val="en-GB"/>
        </w:rPr>
      </w:pPr>
      <w:r w:rsidRPr="005053C3">
        <w:rPr>
          <w:lang w:val="en-GB"/>
        </w:rPr>
        <w:t>Add-on capitation calculations for priority services</w:t>
      </w:r>
      <w:r w:rsidR="000316F8">
        <w:rPr>
          <w:lang w:val="en-GB"/>
        </w:rPr>
        <w:t xml:space="preserve"> are described in table 11.</w:t>
      </w:r>
    </w:p>
    <w:p w14:paraId="4914D6CD" w14:textId="72B67464" w:rsidR="000316F8" w:rsidRDefault="000316F8" w:rsidP="002E590D">
      <w:pPr>
        <w:spacing w:after="0" w:line="240" w:lineRule="auto"/>
        <w:jc w:val="both"/>
        <w:rPr>
          <w:lang w:val="en-GB"/>
        </w:rPr>
      </w:pPr>
    </w:p>
    <w:p w14:paraId="5C9C1A63" w14:textId="6BAD1DC1" w:rsidR="001B572A" w:rsidRDefault="001B572A" w:rsidP="002E590D">
      <w:pPr>
        <w:spacing w:after="0" w:line="240" w:lineRule="auto"/>
        <w:jc w:val="both"/>
        <w:rPr>
          <w:lang w:val="en-GB"/>
        </w:rPr>
      </w:pPr>
    </w:p>
    <w:p w14:paraId="6B5B747D" w14:textId="2E90D786" w:rsidR="001B572A" w:rsidRDefault="001B572A" w:rsidP="002E590D">
      <w:pPr>
        <w:spacing w:after="0" w:line="240" w:lineRule="auto"/>
        <w:jc w:val="both"/>
        <w:rPr>
          <w:lang w:val="en-GB"/>
        </w:rPr>
      </w:pPr>
    </w:p>
    <w:p w14:paraId="1EEBBE91" w14:textId="126F5037" w:rsidR="000316F8" w:rsidRDefault="000316F8" w:rsidP="002E590D">
      <w:pPr>
        <w:spacing w:after="0" w:line="240" w:lineRule="auto"/>
        <w:jc w:val="both"/>
        <w:rPr>
          <w:lang w:val="en-GB"/>
        </w:rPr>
      </w:pPr>
      <w:r w:rsidRPr="006B4299">
        <w:rPr>
          <w:b/>
          <w:bCs/>
          <w:lang w:val="en-GB"/>
        </w:rPr>
        <w:t>Table 11</w:t>
      </w:r>
      <w:r>
        <w:rPr>
          <w:lang w:val="en-GB"/>
        </w:rPr>
        <w:t xml:space="preserve">. </w:t>
      </w:r>
      <w:r w:rsidRPr="000316F8">
        <w:rPr>
          <w:lang w:val="en-GB"/>
        </w:rPr>
        <w:t xml:space="preserve">Add-on capitation </w:t>
      </w:r>
      <w:r>
        <w:rPr>
          <w:lang w:val="en-GB"/>
        </w:rPr>
        <w:t>for NCD and ECD services</w:t>
      </w:r>
    </w:p>
    <w:tbl>
      <w:tblPr>
        <w:tblStyle w:val="GridTable5Dark-Accent5"/>
        <w:tblW w:w="10014" w:type="dxa"/>
        <w:tblLook w:val="04A0" w:firstRow="1" w:lastRow="0" w:firstColumn="1" w:lastColumn="0" w:noHBand="0" w:noVBand="1"/>
      </w:tblPr>
      <w:tblGrid>
        <w:gridCol w:w="1338"/>
        <w:gridCol w:w="1073"/>
        <w:gridCol w:w="1074"/>
        <w:gridCol w:w="1137"/>
        <w:gridCol w:w="1192"/>
        <w:gridCol w:w="1519"/>
        <w:gridCol w:w="1284"/>
        <w:gridCol w:w="1397"/>
      </w:tblGrid>
      <w:tr w:rsidR="00FC710A" w:rsidRPr="00FC710A" w14:paraId="062A4831" w14:textId="77777777" w:rsidTr="001B572A">
        <w:trPr>
          <w:cnfStyle w:val="100000000000" w:firstRow="1" w:lastRow="0" w:firstColumn="0" w:lastColumn="0" w:oddVBand="0" w:evenVBand="0" w:oddHBand="0" w:evenHBand="0" w:firstRowFirstColumn="0" w:firstRowLastColumn="0" w:lastRowFirstColumn="0" w:lastRowLastColumn="0"/>
          <w:trHeight w:val="516"/>
          <w:tblHeader/>
        </w:trPr>
        <w:tc>
          <w:tcPr>
            <w:cnfStyle w:val="001000000000" w:firstRow="0" w:lastRow="0" w:firstColumn="1" w:lastColumn="0" w:oddVBand="0" w:evenVBand="0" w:oddHBand="0" w:evenHBand="0" w:firstRowFirstColumn="0" w:firstRowLastColumn="0" w:lastRowFirstColumn="0" w:lastRowLastColumn="0"/>
            <w:tcW w:w="1338" w:type="dxa"/>
            <w:hideMark/>
          </w:tcPr>
          <w:p w14:paraId="37B8F136" w14:textId="77777777" w:rsidR="00FC710A" w:rsidRPr="00FC710A" w:rsidRDefault="00FC710A" w:rsidP="002E590D">
            <w:pPr>
              <w:jc w:val="center"/>
              <w:rPr>
                <w:rFonts w:ascii="Calibri" w:eastAsia="Times New Roman" w:hAnsi="Calibri" w:cs="Times New Roman"/>
                <w:color w:val="auto"/>
                <w:sz w:val="20"/>
                <w:szCs w:val="20"/>
                <w:lang w:eastAsia="et-EE"/>
              </w:rPr>
            </w:pPr>
            <w:r w:rsidRPr="00FC710A">
              <w:rPr>
                <w:rFonts w:ascii="Calibri" w:eastAsia="Times New Roman" w:hAnsi="Calibri" w:cs="Times New Roman"/>
                <w:color w:val="auto"/>
                <w:sz w:val="20"/>
                <w:szCs w:val="20"/>
                <w:lang w:eastAsia="et-EE"/>
              </w:rPr>
              <w:t> </w:t>
            </w:r>
          </w:p>
        </w:tc>
        <w:tc>
          <w:tcPr>
            <w:tcW w:w="1073" w:type="dxa"/>
            <w:noWrap/>
            <w:hideMark/>
          </w:tcPr>
          <w:p w14:paraId="4D0A6F9F" w14:textId="77777777" w:rsidR="00FC710A" w:rsidRPr="00FC710A" w:rsidRDefault="00FC710A" w:rsidP="002E59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sz w:val="20"/>
                <w:szCs w:val="20"/>
                <w:lang w:eastAsia="et-EE"/>
              </w:rPr>
            </w:pPr>
            <w:r w:rsidRPr="00FC710A">
              <w:rPr>
                <w:rFonts w:ascii="Calibri" w:eastAsia="Times New Roman" w:hAnsi="Calibri" w:cs="Times New Roman"/>
                <w:color w:val="auto"/>
                <w:sz w:val="20"/>
                <w:szCs w:val="20"/>
                <w:lang w:eastAsia="et-EE"/>
              </w:rPr>
              <w:t>Target group</w:t>
            </w:r>
          </w:p>
        </w:tc>
        <w:tc>
          <w:tcPr>
            <w:tcW w:w="1074" w:type="dxa"/>
            <w:hideMark/>
          </w:tcPr>
          <w:p w14:paraId="2468F9C9" w14:textId="77777777" w:rsidR="00FC710A" w:rsidRPr="00FC710A" w:rsidRDefault="00FC710A" w:rsidP="002E59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sz w:val="20"/>
                <w:szCs w:val="20"/>
                <w:lang w:eastAsia="et-EE"/>
              </w:rPr>
            </w:pPr>
            <w:r w:rsidRPr="00FC710A">
              <w:rPr>
                <w:rFonts w:ascii="Calibri" w:eastAsia="Times New Roman" w:hAnsi="Calibri" w:cs="Times New Roman"/>
                <w:color w:val="auto"/>
                <w:sz w:val="20"/>
                <w:szCs w:val="20"/>
                <w:lang w:eastAsia="et-EE"/>
              </w:rPr>
              <w:t>Coverage %</w:t>
            </w:r>
          </w:p>
        </w:tc>
        <w:tc>
          <w:tcPr>
            <w:tcW w:w="1137" w:type="dxa"/>
            <w:hideMark/>
          </w:tcPr>
          <w:p w14:paraId="6A435162" w14:textId="77777777" w:rsidR="00FC710A" w:rsidRPr="00FC710A" w:rsidRDefault="00FC710A" w:rsidP="002E59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sz w:val="20"/>
                <w:szCs w:val="20"/>
                <w:lang w:eastAsia="et-EE"/>
              </w:rPr>
            </w:pPr>
            <w:r w:rsidRPr="00FC710A">
              <w:rPr>
                <w:rFonts w:ascii="Calibri" w:eastAsia="Times New Roman" w:hAnsi="Calibri" w:cs="Times New Roman"/>
                <w:color w:val="auto"/>
                <w:sz w:val="20"/>
                <w:szCs w:val="20"/>
                <w:lang w:eastAsia="et-EE"/>
              </w:rPr>
              <w:t>Share of total population</w:t>
            </w:r>
          </w:p>
        </w:tc>
        <w:tc>
          <w:tcPr>
            <w:tcW w:w="1192" w:type="dxa"/>
            <w:hideMark/>
          </w:tcPr>
          <w:p w14:paraId="339613BD" w14:textId="77777777" w:rsidR="00FC710A" w:rsidRPr="00FC710A" w:rsidRDefault="00FC710A" w:rsidP="002E59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sz w:val="20"/>
                <w:szCs w:val="20"/>
                <w:lang w:eastAsia="et-EE"/>
              </w:rPr>
            </w:pPr>
            <w:r w:rsidRPr="00FC710A">
              <w:rPr>
                <w:rFonts w:ascii="Calibri" w:eastAsia="Times New Roman" w:hAnsi="Calibri" w:cs="Times New Roman"/>
                <w:color w:val="auto"/>
                <w:sz w:val="20"/>
                <w:szCs w:val="20"/>
                <w:lang w:eastAsia="et-EE"/>
              </w:rPr>
              <w:t>Total monthly per capita</w:t>
            </w:r>
          </w:p>
        </w:tc>
        <w:tc>
          <w:tcPr>
            <w:tcW w:w="1519" w:type="dxa"/>
            <w:hideMark/>
          </w:tcPr>
          <w:p w14:paraId="1F800C29" w14:textId="25B24C1F" w:rsidR="00FC710A" w:rsidRPr="00FC710A" w:rsidRDefault="00FC710A" w:rsidP="002E59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sz w:val="20"/>
                <w:szCs w:val="20"/>
                <w:lang w:eastAsia="et-EE"/>
              </w:rPr>
            </w:pPr>
            <w:r w:rsidRPr="00FC710A">
              <w:rPr>
                <w:rFonts w:ascii="Calibri" w:eastAsia="Times New Roman" w:hAnsi="Calibri" w:cs="Times New Roman"/>
                <w:color w:val="auto"/>
                <w:sz w:val="20"/>
                <w:szCs w:val="20"/>
                <w:lang w:eastAsia="et-EE"/>
              </w:rPr>
              <w:t xml:space="preserve">Persons per FD and </w:t>
            </w:r>
            <w:r w:rsidR="00C73F6E">
              <w:rPr>
                <w:rFonts w:ascii="Calibri" w:eastAsia="Times New Roman" w:hAnsi="Calibri" w:cs="Times New Roman"/>
                <w:color w:val="auto"/>
                <w:sz w:val="20"/>
                <w:szCs w:val="20"/>
                <w:lang w:eastAsia="et-EE"/>
              </w:rPr>
              <w:t>FN</w:t>
            </w:r>
            <w:r w:rsidRPr="00FC710A">
              <w:rPr>
                <w:rFonts w:ascii="Calibri" w:eastAsia="Times New Roman" w:hAnsi="Calibri" w:cs="Times New Roman"/>
                <w:color w:val="auto"/>
                <w:sz w:val="20"/>
                <w:szCs w:val="20"/>
                <w:lang w:eastAsia="et-EE"/>
              </w:rPr>
              <w:t xml:space="preserve"> on average in a list of 1500 patients</w:t>
            </w:r>
          </w:p>
        </w:tc>
        <w:tc>
          <w:tcPr>
            <w:tcW w:w="1284" w:type="dxa"/>
            <w:hideMark/>
          </w:tcPr>
          <w:p w14:paraId="0E5F33D9" w14:textId="03D6DD90" w:rsidR="00FC710A" w:rsidRPr="00FC710A" w:rsidRDefault="00FC710A" w:rsidP="002E59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sz w:val="20"/>
                <w:szCs w:val="20"/>
                <w:lang w:eastAsia="et-EE"/>
              </w:rPr>
            </w:pPr>
            <w:r w:rsidRPr="00FC710A">
              <w:rPr>
                <w:rFonts w:ascii="Calibri" w:eastAsia="Times New Roman" w:hAnsi="Calibri" w:cs="Times New Roman"/>
                <w:color w:val="auto"/>
                <w:sz w:val="20"/>
                <w:szCs w:val="20"/>
                <w:lang w:eastAsia="et-EE"/>
              </w:rPr>
              <w:t xml:space="preserve">On </w:t>
            </w:r>
            <w:r w:rsidRPr="00FC710A">
              <w:rPr>
                <w:rFonts w:ascii="Calibri" w:eastAsia="Times New Roman" w:hAnsi="Calibri" w:cs="Times New Roman"/>
                <w:b w:val="0"/>
                <w:bCs w:val="0"/>
                <w:color w:val="auto"/>
                <w:sz w:val="20"/>
                <w:szCs w:val="20"/>
                <w:lang w:eastAsia="et-EE"/>
              </w:rPr>
              <w:t>average</w:t>
            </w:r>
            <w:r w:rsidRPr="00FC710A">
              <w:rPr>
                <w:rFonts w:ascii="Calibri" w:eastAsia="Times New Roman" w:hAnsi="Calibri" w:cs="Times New Roman"/>
                <w:color w:val="auto"/>
                <w:sz w:val="20"/>
                <w:szCs w:val="20"/>
                <w:lang w:eastAsia="et-EE"/>
              </w:rPr>
              <w:t xml:space="preserve"> per practice per year with a list of 1500 patients</w:t>
            </w:r>
          </w:p>
        </w:tc>
        <w:tc>
          <w:tcPr>
            <w:tcW w:w="1397" w:type="dxa"/>
            <w:hideMark/>
          </w:tcPr>
          <w:p w14:paraId="7554D316" w14:textId="77777777" w:rsidR="00FC710A" w:rsidRPr="00FC710A" w:rsidRDefault="00FC710A" w:rsidP="002E590D">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color w:val="auto"/>
                <w:sz w:val="20"/>
                <w:szCs w:val="20"/>
                <w:lang w:eastAsia="et-EE"/>
              </w:rPr>
            </w:pPr>
            <w:r w:rsidRPr="00FC710A">
              <w:rPr>
                <w:rFonts w:ascii="Calibri" w:eastAsia="Times New Roman" w:hAnsi="Calibri" w:cs="Times New Roman"/>
                <w:color w:val="auto"/>
                <w:sz w:val="20"/>
                <w:szCs w:val="20"/>
                <w:lang w:eastAsia="et-EE"/>
              </w:rPr>
              <w:t>Total budget prognosis</w:t>
            </w:r>
          </w:p>
        </w:tc>
      </w:tr>
      <w:tr w:rsidR="00FC710A" w:rsidRPr="00FC710A" w14:paraId="4418DF8D" w14:textId="77777777" w:rsidTr="00FC710A">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1338" w:type="dxa"/>
            <w:hideMark/>
          </w:tcPr>
          <w:p w14:paraId="1F20256B" w14:textId="77777777" w:rsidR="00FC710A" w:rsidRPr="00FC710A" w:rsidRDefault="00FC710A" w:rsidP="002E590D">
            <w:pPr>
              <w:rPr>
                <w:rFonts w:ascii="Calibri" w:eastAsia="Times New Roman" w:hAnsi="Calibri" w:cs="Times New Roman"/>
                <w:color w:val="auto"/>
                <w:sz w:val="20"/>
                <w:szCs w:val="20"/>
                <w:lang w:eastAsia="et-EE"/>
              </w:rPr>
            </w:pPr>
            <w:r w:rsidRPr="00FC710A">
              <w:rPr>
                <w:rFonts w:ascii="Calibri" w:eastAsia="Times New Roman" w:hAnsi="Calibri" w:cs="Times New Roman"/>
                <w:color w:val="auto"/>
                <w:sz w:val="20"/>
                <w:szCs w:val="20"/>
                <w:lang w:eastAsia="et-EE"/>
              </w:rPr>
              <w:t>CVD</w:t>
            </w:r>
          </w:p>
        </w:tc>
        <w:tc>
          <w:tcPr>
            <w:tcW w:w="1073" w:type="dxa"/>
            <w:noWrap/>
            <w:hideMark/>
          </w:tcPr>
          <w:p w14:paraId="2F483464" w14:textId="77777777" w:rsidR="00FC710A" w:rsidRPr="00FC710A" w:rsidRDefault="00FC710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sidRPr="00FC710A">
              <w:rPr>
                <w:rFonts w:ascii="Calibri" w:eastAsia="Times New Roman" w:hAnsi="Calibri" w:cs="Times New Roman"/>
                <w:sz w:val="20"/>
                <w:szCs w:val="20"/>
                <w:lang w:eastAsia="et-EE"/>
              </w:rPr>
              <w:t>407 536</w:t>
            </w:r>
          </w:p>
        </w:tc>
        <w:tc>
          <w:tcPr>
            <w:tcW w:w="1074" w:type="dxa"/>
            <w:noWrap/>
            <w:hideMark/>
          </w:tcPr>
          <w:p w14:paraId="000EB4DA" w14:textId="77777777" w:rsidR="00FC710A" w:rsidRPr="00FC710A" w:rsidRDefault="00FC710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sidRPr="00FC710A">
              <w:rPr>
                <w:rFonts w:ascii="Calibri" w:eastAsia="Times New Roman" w:hAnsi="Calibri" w:cs="Times New Roman"/>
                <w:sz w:val="20"/>
                <w:szCs w:val="20"/>
                <w:lang w:eastAsia="et-EE"/>
              </w:rPr>
              <w:t>70%</w:t>
            </w:r>
          </w:p>
        </w:tc>
        <w:tc>
          <w:tcPr>
            <w:tcW w:w="1137" w:type="dxa"/>
            <w:noWrap/>
            <w:hideMark/>
          </w:tcPr>
          <w:p w14:paraId="4F3CBE79" w14:textId="77777777" w:rsidR="00FC710A" w:rsidRPr="00FC710A" w:rsidRDefault="00FC710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sidRPr="00FC710A">
              <w:rPr>
                <w:rFonts w:ascii="Calibri" w:eastAsia="Times New Roman" w:hAnsi="Calibri" w:cs="Times New Roman"/>
                <w:sz w:val="20"/>
                <w:szCs w:val="20"/>
                <w:lang w:eastAsia="et-EE"/>
              </w:rPr>
              <w:t>11%</w:t>
            </w:r>
          </w:p>
        </w:tc>
        <w:tc>
          <w:tcPr>
            <w:tcW w:w="1192" w:type="dxa"/>
            <w:noWrap/>
            <w:hideMark/>
          </w:tcPr>
          <w:p w14:paraId="68641966" w14:textId="77777777" w:rsidR="00FC710A" w:rsidRPr="00FC710A" w:rsidRDefault="00FC710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sidRPr="00FC710A">
              <w:rPr>
                <w:rFonts w:ascii="Calibri" w:eastAsia="Times New Roman" w:hAnsi="Calibri" w:cs="Times New Roman"/>
                <w:sz w:val="20"/>
                <w:szCs w:val="20"/>
                <w:lang w:eastAsia="et-EE"/>
              </w:rPr>
              <w:t> </w:t>
            </w:r>
          </w:p>
        </w:tc>
        <w:tc>
          <w:tcPr>
            <w:tcW w:w="1519" w:type="dxa"/>
            <w:noWrap/>
            <w:hideMark/>
          </w:tcPr>
          <w:p w14:paraId="632F45AE" w14:textId="77777777" w:rsidR="00FC710A" w:rsidRPr="00FC710A" w:rsidRDefault="00FC710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sidRPr="00FC710A">
              <w:rPr>
                <w:rFonts w:ascii="Calibri" w:eastAsia="Times New Roman" w:hAnsi="Calibri" w:cs="Times New Roman"/>
                <w:sz w:val="20"/>
                <w:szCs w:val="20"/>
                <w:lang w:eastAsia="et-EE"/>
              </w:rPr>
              <w:t xml:space="preserve">164 </w:t>
            </w:r>
          </w:p>
        </w:tc>
        <w:tc>
          <w:tcPr>
            <w:tcW w:w="1284" w:type="dxa"/>
            <w:noWrap/>
            <w:hideMark/>
          </w:tcPr>
          <w:p w14:paraId="27910612" w14:textId="77777777" w:rsidR="00FC710A" w:rsidRPr="00FC710A" w:rsidRDefault="00FC710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sidRPr="00FC710A">
              <w:rPr>
                <w:rFonts w:ascii="Calibri" w:eastAsia="Times New Roman" w:hAnsi="Calibri" w:cs="Times New Roman"/>
                <w:sz w:val="20"/>
                <w:szCs w:val="20"/>
                <w:lang w:eastAsia="et-EE"/>
              </w:rPr>
              <w:t> </w:t>
            </w:r>
          </w:p>
        </w:tc>
        <w:tc>
          <w:tcPr>
            <w:tcW w:w="1397" w:type="dxa"/>
            <w:noWrap/>
            <w:hideMark/>
          </w:tcPr>
          <w:p w14:paraId="01A29C90" w14:textId="77777777" w:rsidR="00FC710A" w:rsidRPr="00FC710A" w:rsidRDefault="00FC710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sidRPr="00FC710A">
              <w:rPr>
                <w:rFonts w:ascii="Calibri" w:eastAsia="Times New Roman" w:hAnsi="Calibri" w:cs="Times New Roman"/>
                <w:sz w:val="20"/>
                <w:szCs w:val="20"/>
                <w:lang w:eastAsia="et-EE"/>
              </w:rPr>
              <w:t> </w:t>
            </w:r>
          </w:p>
        </w:tc>
      </w:tr>
      <w:tr w:rsidR="00FC710A" w:rsidRPr="00FC710A" w14:paraId="0A6C9D1D" w14:textId="77777777" w:rsidTr="00FC710A">
        <w:trPr>
          <w:trHeight w:val="171"/>
        </w:trPr>
        <w:tc>
          <w:tcPr>
            <w:cnfStyle w:val="001000000000" w:firstRow="0" w:lastRow="0" w:firstColumn="1" w:lastColumn="0" w:oddVBand="0" w:evenVBand="0" w:oddHBand="0" w:evenHBand="0" w:firstRowFirstColumn="0" w:firstRowLastColumn="0" w:lastRowFirstColumn="0" w:lastRowLastColumn="0"/>
            <w:tcW w:w="1338" w:type="dxa"/>
            <w:hideMark/>
          </w:tcPr>
          <w:p w14:paraId="09450243" w14:textId="77777777" w:rsidR="00FC710A" w:rsidRPr="00FC710A" w:rsidRDefault="00FC710A" w:rsidP="002E590D">
            <w:pPr>
              <w:rPr>
                <w:rFonts w:ascii="Calibri" w:eastAsia="Times New Roman" w:hAnsi="Calibri" w:cs="Times New Roman"/>
                <w:color w:val="auto"/>
                <w:sz w:val="20"/>
                <w:szCs w:val="20"/>
                <w:lang w:eastAsia="et-EE"/>
              </w:rPr>
            </w:pPr>
            <w:r w:rsidRPr="00FC710A">
              <w:rPr>
                <w:rFonts w:ascii="Calibri" w:eastAsia="Times New Roman" w:hAnsi="Calibri" w:cs="Times New Roman"/>
                <w:color w:val="auto"/>
                <w:sz w:val="20"/>
                <w:szCs w:val="20"/>
                <w:lang w:eastAsia="et-EE"/>
              </w:rPr>
              <w:t>Diabetes</w:t>
            </w:r>
          </w:p>
        </w:tc>
        <w:tc>
          <w:tcPr>
            <w:tcW w:w="1073" w:type="dxa"/>
            <w:noWrap/>
            <w:hideMark/>
          </w:tcPr>
          <w:p w14:paraId="3774763E" w14:textId="77777777" w:rsidR="00FC710A" w:rsidRPr="00FC710A" w:rsidRDefault="00FC710A"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t-EE"/>
              </w:rPr>
            </w:pPr>
            <w:r w:rsidRPr="00FC710A">
              <w:rPr>
                <w:rFonts w:ascii="Calibri" w:eastAsia="Times New Roman" w:hAnsi="Calibri" w:cs="Times New Roman"/>
                <w:sz w:val="20"/>
                <w:szCs w:val="20"/>
                <w:lang w:eastAsia="et-EE"/>
              </w:rPr>
              <w:t>76 672</w:t>
            </w:r>
          </w:p>
        </w:tc>
        <w:tc>
          <w:tcPr>
            <w:tcW w:w="1074" w:type="dxa"/>
            <w:noWrap/>
            <w:hideMark/>
          </w:tcPr>
          <w:p w14:paraId="09E90151" w14:textId="77777777" w:rsidR="00FC710A" w:rsidRPr="00FC710A" w:rsidRDefault="00FC710A"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t-EE"/>
              </w:rPr>
            </w:pPr>
            <w:r w:rsidRPr="00FC710A">
              <w:rPr>
                <w:rFonts w:ascii="Calibri" w:eastAsia="Times New Roman" w:hAnsi="Calibri" w:cs="Times New Roman"/>
                <w:sz w:val="20"/>
                <w:szCs w:val="20"/>
                <w:lang w:eastAsia="et-EE"/>
              </w:rPr>
              <w:t>70%</w:t>
            </w:r>
          </w:p>
        </w:tc>
        <w:tc>
          <w:tcPr>
            <w:tcW w:w="1137" w:type="dxa"/>
            <w:noWrap/>
            <w:hideMark/>
          </w:tcPr>
          <w:p w14:paraId="4AE43D44" w14:textId="77777777" w:rsidR="00FC710A" w:rsidRPr="00FC710A" w:rsidRDefault="00FC710A"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t-EE"/>
              </w:rPr>
            </w:pPr>
            <w:r w:rsidRPr="00FC710A">
              <w:rPr>
                <w:rFonts w:ascii="Calibri" w:eastAsia="Times New Roman" w:hAnsi="Calibri" w:cs="Times New Roman"/>
                <w:sz w:val="20"/>
                <w:szCs w:val="20"/>
                <w:lang w:eastAsia="et-EE"/>
              </w:rPr>
              <w:t>2%</w:t>
            </w:r>
          </w:p>
        </w:tc>
        <w:tc>
          <w:tcPr>
            <w:tcW w:w="1192" w:type="dxa"/>
            <w:noWrap/>
            <w:hideMark/>
          </w:tcPr>
          <w:p w14:paraId="310F466D" w14:textId="77777777" w:rsidR="00FC710A" w:rsidRPr="00FC710A" w:rsidRDefault="00FC710A"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t-EE"/>
              </w:rPr>
            </w:pPr>
            <w:r w:rsidRPr="00FC710A">
              <w:rPr>
                <w:rFonts w:ascii="Calibri" w:eastAsia="Times New Roman" w:hAnsi="Calibri" w:cs="Times New Roman"/>
                <w:sz w:val="20"/>
                <w:szCs w:val="20"/>
                <w:lang w:eastAsia="et-EE"/>
              </w:rPr>
              <w:t> </w:t>
            </w:r>
          </w:p>
        </w:tc>
        <w:tc>
          <w:tcPr>
            <w:tcW w:w="1519" w:type="dxa"/>
            <w:noWrap/>
            <w:hideMark/>
          </w:tcPr>
          <w:p w14:paraId="320D8C94" w14:textId="77777777" w:rsidR="00FC710A" w:rsidRPr="00FC710A" w:rsidRDefault="00FC710A"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t-EE"/>
              </w:rPr>
            </w:pPr>
            <w:r w:rsidRPr="00FC710A">
              <w:rPr>
                <w:rFonts w:ascii="Calibri" w:eastAsia="Times New Roman" w:hAnsi="Calibri" w:cs="Times New Roman"/>
                <w:sz w:val="20"/>
                <w:szCs w:val="20"/>
                <w:lang w:eastAsia="et-EE"/>
              </w:rPr>
              <w:t xml:space="preserve">31 </w:t>
            </w:r>
          </w:p>
        </w:tc>
        <w:tc>
          <w:tcPr>
            <w:tcW w:w="1284" w:type="dxa"/>
            <w:noWrap/>
            <w:hideMark/>
          </w:tcPr>
          <w:p w14:paraId="4CD6E075" w14:textId="77777777" w:rsidR="00FC710A" w:rsidRPr="00FC710A" w:rsidRDefault="00FC710A"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t-EE"/>
              </w:rPr>
            </w:pPr>
            <w:r w:rsidRPr="00FC710A">
              <w:rPr>
                <w:rFonts w:ascii="Calibri" w:eastAsia="Times New Roman" w:hAnsi="Calibri" w:cs="Times New Roman"/>
                <w:sz w:val="20"/>
                <w:szCs w:val="20"/>
                <w:lang w:eastAsia="et-EE"/>
              </w:rPr>
              <w:t> </w:t>
            </w:r>
          </w:p>
        </w:tc>
        <w:tc>
          <w:tcPr>
            <w:tcW w:w="1397" w:type="dxa"/>
            <w:noWrap/>
            <w:hideMark/>
          </w:tcPr>
          <w:p w14:paraId="6A6DC869" w14:textId="77777777" w:rsidR="00FC710A" w:rsidRPr="00FC710A" w:rsidRDefault="00FC710A"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t-EE"/>
              </w:rPr>
            </w:pPr>
            <w:r w:rsidRPr="00FC710A">
              <w:rPr>
                <w:rFonts w:ascii="Calibri" w:eastAsia="Times New Roman" w:hAnsi="Calibri" w:cs="Times New Roman"/>
                <w:sz w:val="20"/>
                <w:szCs w:val="20"/>
                <w:lang w:eastAsia="et-EE"/>
              </w:rPr>
              <w:t> </w:t>
            </w:r>
          </w:p>
        </w:tc>
      </w:tr>
      <w:tr w:rsidR="00FC710A" w:rsidRPr="00FC710A" w14:paraId="508E1E6D" w14:textId="77777777" w:rsidTr="00FC710A">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1338" w:type="dxa"/>
            <w:hideMark/>
          </w:tcPr>
          <w:p w14:paraId="03D427BF" w14:textId="77777777" w:rsidR="00FC710A" w:rsidRPr="00FC710A" w:rsidRDefault="00FC710A" w:rsidP="002E590D">
            <w:pPr>
              <w:rPr>
                <w:rFonts w:ascii="Calibri" w:eastAsia="Times New Roman" w:hAnsi="Calibri" w:cs="Times New Roman"/>
                <w:color w:val="auto"/>
                <w:sz w:val="20"/>
                <w:szCs w:val="20"/>
                <w:lang w:eastAsia="et-EE"/>
              </w:rPr>
            </w:pPr>
            <w:r w:rsidRPr="00FC710A">
              <w:rPr>
                <w:rFonts w:ascii="Calibri" w:eastAsia="Times New Roman" w:hAnsi="Calibri" w:cs="Times New Roman"/>
                <w:color w:val="auto"/>
                <w:sz w:val="20"/>
                <w:szCs w:val="20"/>
                <w:lang w:eastAsia="et-EE"/>
              </w:rPr>
              <w:t>Hypertension</w:t>
            </w:r>
          </w:p>
        </w:tc>
        <w:tc>
          <w:tcPr>
            <w:tcW w:w="1073" w:type="dxa"/>
            <w:noWrap/>
            <w:hideMark/>
          </w:tcPr>
          <w:p w14:paraId="7D05856D" w14:textId="77777777" w:rsidR="00FC710A" w:rsidRPr="00FC710A" w:rsidRDefault="00FC710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sidRPr="00FC710A">
              <w:rPr>
                <w:rFonts w:ascii="Calibri" w:eastAsia="Times New Roman" w:hAnsi="Calibri" w:cs="Times New Roman"/>
                <w:sz w:val="20"/>
                <w:szCs w:val="20"/>
                <w:lang w:eastAsia="et-EE"/>
              </w:rPr>
              <w:t>1 117 792</w:t>
            </w:r>
          </w:p>
        </w:tc>
        <w:tc>
          <w:tcPr>
            <w:tcW w:w="1074" w:type="dxa"/>
            <w:noWrap/>
            <w:hideMark/>
          </w:tcPr>
          <w:p w14:paraId="57DCABE5" w14:textId="77777777" w:rsidR="00FC710A" w:rsidRPr="00FC710A" w:rsidRDefault="00FC710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sidRPr="00FC710A">
              <w:rPr>
                <w:rFonts w:ascii="Calibri" w:eastAsia="Times New Roman" w:hAnsi="Calibri" w:cs="Times New Roman"/>
                <w:sz w:val="20"/>
                <w:szCs w:val="20"/>
                <w:lang w:eastAsia="et-EE"/>
              </w:rPr>
              <w:t>70%</w:t>
            </w:r>
          </w:p>
        </w:tc>
        <w:tc>
          <w:tcPr>
            <w:tcW w:w="1137" w:type="dxa"/>
            <w:noWrap/>
            <w:hideMark/>
          </w:tcPr>
          <w:p w14:paraId="47BB4F6D" w14:textId="77777777" w:rsidR="00FC710A" w:rsidRPr="00FC710A" w:rsidRDefault="00FC710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sidRPr="00FC710A">
              <w:rPr>
                <w:rFonts w:ascii="Calibri" w:eastAsia="Times New Roman" w:hAnsi="Calibri" w:cs="Times New Roman"/>
                <w:sz w:val="20"/>
                <w:szCs w:val="20"/>
                <w:lang w:eastAsia="et-EE"/>
              </w:rPr>
              <w:t>30%</w:t>
            </w:r>
          </w:p>
        </w:tc>
        <w:tc>
          <w:tcPr>
            <w:tcW w:w="1192" w:type="dxa"/>
            <w:noWrap/>
            <w:hideMark/>
          </w:tcPr>
          <w:p w14:paraId="77E2DD43" w14:textId="77777777" w:rsidR="00FC710A" w:rsidRPr="00FC710A" w:rsidRDefault="00FC710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sidRPr="00FC710A">
              <w:rPr>
                <w:rFonts w:ascii="Calibri" w:eastAsia="Times New Roman" w:hAnsi="Calibri" w:cs="Times New Roman"/>
                <w:sz w:val="20"/>
                <w:szCs w:val="20"/>
                <w:lang w:eastAsia="et-EE"/>
              </w:rPr>
              <w:t> </w:t>
            </w:r>
          </w:p>
        </w:tc>
        <w:tc>
          <w:tcPr>
            <w:tcW w:w="1519" w:type="dxa"/>
            <w:noWrap/>
            <w:hideMark/>
          </w:tcPr>
          <w:p w14:paraId="554F5D48" w14:textId="77777777" w:rsidR="00FC710A" w:rsidRPr="00FC710A" w:rsidRDefault="00FC710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sidRPr="00FC710A">
              <w:rPr>
                <w:rFonts w:ascii="Calibri" w:eastAsia="Times New Roman" w:hAnsi="Calibri" w:cs="Times New Roman"/>
                <w:sz w:val="20"/>
                <w:szCs w:val="20"/>
                <w:lang w:eastAsia="et-EE"/>
              </w:rPr>
              <w:t xml:space="preserve">451 </w:t>
            </w:r>
          </w:p>
        </w:tc>
        <w:tc>
          <w:tcPr>
            <w:tcW w:w="1284" w:type="dxa"/>
            <w:noWrap/>
            <w:hideMark/>
          </w:tcPr>
          <w:p w14:paraId="60BA7C6E" w14:textId="77777777" w:rsidR="00FC710A" w:rsidRPr="00FC710A" w:rsidRDefault="00FC710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sidRPr="00FC710A">
              <w:rPr>
                <w:rFonts w:ascii="Calibri" w:eastAsia="Times New Roman" w:hAnsi="Calibri" w:cs="Times New Roman"/>
                <w:sz w:val="20"/>
                <w:szCs w:val="20"/>
                <w:lang w:eastAsia="et-EE"/>
              </w:rPr>
              <w:t> </w:t>
            </w:r>
          </w:p>
        </w:tc>
        <w:tc>
          <w:tcPr>
            <w:tcW w:w="1397" w:type="dxa"/>
            <w:noWrap/>
            <w:hideMark/>
          </w:tcPr>
          <w:p w14:paraId="6D4469AA" w14:textId="77777777" w:rsidR="00FC710A" w:rsidRPr="00FC710A" w:rsidRDefault="00FC710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sidRPr="00FC710A">
              <w:rPr>
                <w:rFonts w:ascii="Calibri" w:eastAsia="Times New Roman" w:hAnsi="Calibri" w:cs="Times New Roman"/>
                <w:sz w:val="20"/>
                <w:szCs w:val="20"/>
                <w:lang w:eastAsia="et-EE"/>
              </w:rPr>
              <w:t> </w:t>
            </w:r>
          </w:p>
        </w:tc>
      </w:tr>
      <w:tr w:rsidR="00FC710A" w:rsidRPr="00FC710A" w14:paraId="594CB947" w14:textId="77777777" w:rsidTr="00FC710A">
        <w:trPr>
          <w:trHeight w:val="171"/>
        </w:trPr>
        <w:tc>
          <w:tcPr>
            <w:cnfStyle w:val="001000000000" w:firstRow="0" w:lastRow="0" w:firstColumn="1" w:lastColumn="0" w:oddVBand="0" w:evenVBand="0" w:oddHBand="0" w:evenHBand="0" w:firstRowFirstColumn="0" w:firstRowLastColumn="0" w:lastRowFirstColumn="0" w:lastRowLastColumn="0"/>
            <w:tcW w:w="1338" w:type="dxa"/>
            <w:hideMark/>
          </w:tcPr>
          <w:p w14:paraId="773211D6" w14:textId="77777777" w:rsidR="00FC710A" w:rsidRPr="00FC710A" w:rsidRDefault="00FC710A" w:rsidP="002E590D">
            <w:pPr>
              <w:rPr>
                <w:rFonts w:ascii="Calibri" w:eastAsia="Times New Roman" w:hAnsi="Calibri" w:cs="Times New Roman"/>
                <w:color w:val="auto"/>
                <w:sz w:val="20"/>
                <w:szCs w:val="20"/>
                <w:lang w:eastAsia="et-EE"/>
              </w:rPr>
            </w:pPr>
            <w:r w:rsidRPr="00FC710A">
              <w:rPr>
                <w:rFonts w:ascii="Calibri" w:eastAsia="Times New Roman" w:hAnsi="Calibri" w:cs="Times New Roman"/>
                <w:color w:val="auto"/>
                <w:sz w:val="20"/>
                <w:szCs w:val="20"/>
                <w:lang w:eastAsia="et-EE"/>
              </w:rPr>
              <w:t>Total NCDs</w:t>
            </w:r>
          </w:p>
        </w:tc>
        <w:tc>
          <w:tcPr>
            <w:tcW w:w="1073" w:type="dxa"/>
            <w:noWrap/>
            <w:hideMark/>
          </w:tcPr>
          <w:p w14:paraId="56E34191" w14:textId="77777777" w:rsidR="00FC710A" w:rsidRPr="00FC710A" w:rsidRDefault="00FC710A"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eastAsia="et-EE"/>
              </w:rPr>
            </w:pPr>
            <w:r w:rsidRPr="00FC710A">
              <w:rPr>
                <w:rFonts w:ascii="Calibri" w:eastAsia="Times New Roman" w:hAnsi="Calibri" w:cs="Times New Roman"/>
                <w:b/>
                <w:bCs/>
                <w:sz w:val="20"/>
                <w:szCs w:val="20"/>
                <w:lang w:eastAsia="et-EE"/>
              </w:rPr>
              <w:t>1 602 000</w:t>
            </w:r>
          </w:p>
        </w:tc>
        <w:tc>
          <w:tcPr>
            <w:tcW w:w="1074" w:type="dxa"/>
            <w:noWrap/>
            <w:hideMark/>
          </w:tcPr>
          <w:p w14:paraId="67573735" w14:textId="77777777" w:rsidR="00FC710A" w:rsidRPr="00FC710A" w:rsidRDefault="00FC710A"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eastAsia="et-EE"/>
              </w:rPr>
            </w:pPr>
            <w:r w:rsidRPr="00FC710A">
              <w:rPr>
                <w:rFonts w:ascii="Calibri" w:eastAsia="Times New Roman" w:hAnsi="Calibri" w:cs="Times New Roman"/>
                <w:b/>
                <w:bCs/>
                <w:sz w:val="20"/>
                <w:szCs w:val="20"/>
                <w:lang w:eastAsia="et-EE"/>
              </w:rPr>
              <w:t> </w:t>
            </w:r>
          </w:p>
        </w:tc>
        <w:tc>
          <w:tcPr>
            <w:tcW w:w="1137" w:type="dxa"/>
            <w:noWrap/>
            <w:hideMark/>
          </w:tcPr>
          <w:p w14:paraId="17EDDCCD" w14:textId="77777777" w:rsidR="00FC710A" w:rsidRPr="00FC710A" w:rsidRDefault="00FC710A"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eastAsia="et-EE"/>
              </w:rPr>
            </w:pPr>
            <w:r w:rsidRPr="00FC710A">
              <w:rPr>
                <w:rFonts w:ascii="Calibri" w:eastAsia="Times New Roman" w:hAnsi="Calibri" w:cs="Times New Roman"/>
                <w:b/>
                <w:bCs/>
                <w:sz w:val="20"/>
                <w:szCs w:val="20"/>
                <w:lang w:eastAsia="et-EE"/>
              </w:rPr>
              <w:t>43%</w:t>
            </w:r>
          </w:p>
        </w:tc>
        <w:tc>
          <w:tcPr>
            <w:tcW w:w="1192" w:type="dxa"/>
            <w:noWrap/>
            <w:hideMark/>
          </w:tcPr>
          <w:p w14:paraId="1B3C5135" w14:textId="77777777" w:rsidR="00FC710A" w:rsidRPr="00FC710A" w:rsidRDefault="00FC710A"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eastAsia="et-EE"/>
              </w:rPr>
            </w:pPr>
            <w:r w:rsidRPr="00FC710A">
              <w:rPr>
                <w:rFonts w:ascii="Calibri" w:eastAsia="Times New Roman" w:hAnsi="Calibri" w:cs="Times New Roman"/>
                <w:b/>
                <w:bCs/>
                <w:sz w:val="20"/>
                <w:szCs w:val="20"/>
                <w:lang w:eastAsia="et-EE"/>
              </w:rPr>
              <w:t>4,79</w:t>
            </w:r>
          </w:p>
        </w:tc>
        <w:tc>
          <w:tcPr>
            <w:tcW w:w="1519" w:type="dxa"/>
            <w:noWrap/>
            <w:hideMark/>
          </w:tcPr>
          <w:p w14:paraId="74042296" w14:textId="77777777" w:rsidR="00FC710A" w:rsidRPr="00FC710A" w:rsidRDefault="00FC710A"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eastAsia="et-EE"/>
              </w:rPr>
            </w:pPr>
            <w:r w:rsidRPr="00FC710A">
              <w:rPr>
                <w:rFonts w:ascii="Calibri" w:eastAsia="Times New Roman" w:hAnsi="Calibri" w:cs="Times New Roman"/>
                <w:b/>
                <w:bCs/>
                <w:sz w:val="20"/>
                <w:szCs w:val="20"/>
                <w:lang w:eastAsia="et-EE"/>
              </w:rPr>
              <w:t xml:space="preserve">646 </w:t>
            </w:r>
          </w:p>
        </w:tc>
        <w:tc>
          <w:tcPr>
            <w:tcW w:w="1284" w:type="dxa"/>
            <w:noWrap/>
            <w:hideMark/>
          </w:tcPr>
          <w:p w14:paraId="5DAFC781" w14:textId="77777777" w:rsidR="00FC710A" w:rsidRPr="00FC710A" w:rsidRDefault="00FC710A"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eastAsia="et-EE"/>
              </w:rPr>
            </w:pPr>
            <w:r w:rsidRPr="00FC710A">
              <w:rPr>
                <w:rFonts w:ascii="Calibri" w:eastAsia="Times New Roman" w:hAnsi="Calibri" w:cs="Times New Roman"/>
                <w:b/>
                <w:bCs/>
                <w:sz w:val="20"/>
                <w:szCs w:val="20"/>
                <w:lang w:eastAsia="et-EE"/>
              </w:rPr>
              <w:t>26 003</w:t>
            </w:r>
          </w:p>
        </w:tc>
        <w:tc>
          <w:tcPr>
            <w:tcW w:w="1397" w:type="dxa"/>
            <w:noWrap/>
            <w:hideMark/>
          </w:tcPr>
          <w:p w14:paraId="3B85992C" w14:textId="77777777" w:rsidR="00FC710A" w:rsidRPr="00FC710A" w:rsidRDefault="00FC710A"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eastAsia="et-EE"/>
              </w:rPr>
            </w:pPr>
            <w:r w:rsidRPr="00FC710A">
              <w:rPr>
                <w:rFonts w:ascii="Calibri" w:eastAsia="Times New Roman" w:hAnsi="Calibri" w:cs="Times New Roman"/>
                <w:b/>
                <w:bCs/>
                <w:sz w:val="20"/>
                <w:szCs w:val="20"/>
                <w:lang w:eastAsia="et-EE"/>
              </w:rPr>
              <w:t>64 489 881</w:t>
            </w:r>
          </w:p>
        </w:tc>
      </w:tr>
      <w:tr w:rsidR="00FC710A" w:rsidRPr="00FC710A" w14:paraId="6DF6D8E2" w14:textId="77777777" w:rsidTr="00FC710A">
        <w:trPr>
          <w:cnfStyle w:val="000000100000" w:firstRow="0" w:lastRow="0" w:firstColumn="0" w:lastColumn="0" w:oddVBand="0" w:evenVBand="0" w:oddHBand="1" w:evenHBand="0" w:firstRowFirstColumn="0" w:firstRowLastColumn="0" w:lastRowFirstColumn="0" w:lastRowLastColumn="0"/>
          <w:trHeight w:val="171"/>
        </w:trPr>
        <w:tc>
          <w:tcPr>
            <w:cnfStyle w:val="001000000000" w:firstRow="0" w:lastRow="0" w:firstColumn="1" w:lastColumn="0" w:oddVBand="0" w:evenVBand="0" w:oddHBand="0" w:evenHBand="0" w:firstRowFirstColumn="0" w:firstRowLastColumn="0" w:lastRowFirstColumn="0" w:lastRowLastColumn="0"/>
            <w:tcW w:w="1338" w:type="dxa"/>
            <w:hideMark/>
          </w:tcPr>
          <w:p w14:paraId="6F6CD146" w14:textId="1EABB923" w:rsidR="00FC710A" w:rsidRPr="00FC710A" w:rsidRDefault="00FC710A" w:rsidP="002E590D">
            <w:pPr>
              <w:rPr>
                <w:rFonts w:ascii="Calibri" w:eastAsia="Times New Roman" w:hAnsi="Calibri" w:cs="Times New Roman"/>
                <w:color w:val="000000"/>
                <w:sz w:val="20"/>
                <w:szCs w:val="20"/>
                <w:lang w:eastAsia="et-EE"/>
              </w:rPr>
            </w:pPr>
            <w:r w:rsidRPr="00FC710A">
              <w:rPr>
                <w:rFonts w:ascii="Calibri" w:eastAsia="Times New Roman" w:hAnsi="Calibri" w:cs="Times New Roman"/>
                <w:color w:val="000000"/>
                <w:sz w:val="20"/>
                <w:szCs w:val="20"/>
                <w:lang w:eastAsia="et-EE"/>
              </w:rPr>
              <w:t>Child health 0-5</w:t>
            </w:r>
          </w:p>
        </w:tc>
        <w:tc>
          <w:tcPr>
            <w:tcW w:w="1073" w:type="dxa"/>
            <w:noWrap/>
            <w:hideMark/>
          </w:tcPr>
          <w:p w14:paraId="3CA56DA1" w14:textId="7E027390" w:rsidR="00FC710A" w:rsidRPr="00FC710A" w:rsidRDefault="00FC710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eastAsia="et-EE"/>
              </w:rPr>
            </w:pPr>
            <w:r w:rsidRPr="00FC710A">
              <w:rPr>
                <w:rFonts w:ascii="Calibri" w:eastAsia="Times New Roman" w:hAnsi="Calibri" w:cs="Times New Roman"/>
                <w:b/>
                <w:bCs/>
                <w:color w:val="000000"/>
                <w:sz w:val="20"/>
                <w:szCs w:val="20"/>
                <w:lang w:eastAsia="et-EE"/>
              </w:rPr>
              <w:t>273 200</w:t>
            </w:r>
          </w:p>
        </w:tc>
        <w:tc>
          <w:tcPr>
            <w:tcW w:w="1074" w:type="dxa"/>
            <w:noWrap/>
            <w:hideMark/>
          </w:tcPr>
          <w:p w14:paraId="316B956D" w14:textId="25D778FA" w:rsidR="00FC710A" w:rsidRPr="00FC710A" w:rsidRDefault="00FC710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eastAsia="et-EE"/>
              </w:rPr>
            </w:pPr>
            <w:r w:rsidRPr="00FC710A">
              <w:rPr>
                <w:rFonts w:ascii="Calibri" w:eastAsia="Times New Roman" w:hAnsi="Calibri" w:cs="Times New Roman"/>
                <w:b/>
                <w:bCs/>
                <w:color w:val="000000"/>
                <w:sz w:val="20"/>
                <w:szCs w:val="20"/>
                <w:lang w:eastAsia="et-EE"/>
              </w:rPr>
              <w:t>95%</w:t>
            </w:r>
          </w:p>
        </w:tc>
        <w:tc>
          <w:tcPr>
            <w:tcW w:w="1137" w:type="dxa"/>
            <w:noWrap/>
            <w:hideMark/>
          </w:tcPr>
          <w:p w14:paraId="07504B92" w14:textId="46040DB7" w:rsidR="00FC710A" w:rsidRPr="00FC710A" w:rsidRDefault="00FC710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eastAsia="et-EE"/>
              </w:rPr>
            </w:pPr>
            <w:r w:rsidRPr="00FC710A">
              <w:rPr>
                <w:rFonts w:ascii="Calibri" w:eastAsia="Times New Roman" w:hAnsi="Calibri" w:cs="Times New Roman"/>
                <w:b/>
                <w:bCs/>
                <w:color w:val="000000"/>
                <w:sz w:val="20"/>
                <w:szCs w:val="20"/>
                <w:lang w:eastAsia="et-EE"/>
              </w:rPr>
              <w:t>7%</w:t>
            </w:r>
          </w:p>
        </w:tc>
        <w:tc>
          <w:tcPr>
            <w:tcW w:w="1192" w:type="dxa"/>
            <w:noWrap/>
            <w:hideMark/>
          </w:tcPr>
          <w:p w14:paraId="2E6FD2C4" w14:textId="1A2B3DE4" w:rsidR="00FC710A" w:rsidRPr="00FC710A" w:rsidRDefault="00FC710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color w:val="000000"/>
                <w:sz w:val="20"/>
                <w:szCs w:val="20"/>
                <w:lang w:eastAsia="et-EE"/>
              </w:rPr>
            </w:pPr>
            <w:r w:rsidRPr="00FC710A">
              <w:rPr>
                <w:rFonts w:ascii="Calibri" w:eastAsia="Times New Roman" w:hAnsi="Calibri" w:cs="Times New Roman"/>
                <w:b/>
                <w:bCs/>
                <w:color w:val="000000"/>
                <w:sz w:val="20"/>
                <w:szCs w:val="20"/>
                <w:lang w:eastAsia="et-EE"/>
              </w:rPr>
              <w:t xml:space="preserve">2,38 </w:t>
            </w:r>
          </w:p>
        </w:tc>
        <w:tc>
          <w:tcPr>
            <w:tcW w:w="1519" w:type="dxa"/>
            <w:noWrap/>
            <w:hideMark/>
          </w:tcPr>
          <w:p w14:paraId="12F581EC" w14:textId="6B9626ED" w:rsidR="00FC710A" w:rsidRPr="00FC710A" w:rsidRDefault="00FC710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eastAsia="et-EE"/>
              </w:rPr>
            </w:pPr>
            <w:r w:rsidRPr="00FC710A">
              <w:rPr>
                <w:rFonts w:ascii="Calibri" w:eastAsia="Times New Roman" w:hAnsi="Calibri" w:cs="Times New Roman"/>
                <w:b/>
                <w:bCs/>
                <w:color w:val="000000"/>
                <w:sz w:val="20"/>
                <w:szCs w:val="20"/>
                <w:lang w:eastAsia="et-EE"/>
              </w:rPr>
              <w:t xml:space="preserve">182 </w:t>
            </w:r>
          </w:p>
        </w:tc>
        <w:tc>
          <w:tcPr>
            <w:tcW w:w="1284" w:type="dxa"/>
            <w:noWrap/>
            <w:hideMark/>
          </w:tcPr>
          <w:p w14:paraId="6F85F09B" w14:textId="5BE909A7" w:rsidR="00FC710A" w:rsidRPr="00FC710A" w:rsidRDefault="00FC710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eastAsia="et-EE"/>
              </w:rPr>
            </w:pPr>
            <w:r w:rsidRPr="00FC710A">
              <w:rPr>
                <w:rFonts w:ascii="Calibri" w:eastAsia="Times New Roman" w:hAnsi="Calibri" w:cs="Times New Roman"/>
                <w:b/>
                <w:bCs/>
                <w:sz w:val="20"/>
                <w:szCs w:val="20"/>
                <w:lang w:eastAsia="et-EE"/>
              </w:rPr>
              <w:t>5 198</w:t>
            </w:r>
          </w:p>
        </w:tc>
        <w:tc>
          <w:tcPr>
            <w:tcW w:w="1397" w:type="dxa"/>
            <w:noWrap/>
            <w:hideMark/>
          </w:tcPr>
          <w:p w14:paraId="006C5B28" w14:textId="059728B1" w:rsidR="00FC710A" w:rsidRPr="00FC710A" w:rsidRDefault="00FC710A"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b/>
                <w:bCs/>
                <w:sz w:val="20"/>
                <w:szCs w:val="20"/>
                <w:lang w:eastAsia="et-EE"/>
              </w:rPr>
            </w:pPr>
            <w:r w:rsidRPr="00FC710A">
              <w:rPr>
                <w:rFonts w:ascii="Calibri" w:eastAsia="Times New Roman" w:hAnsi="Calibri" w:cs="Times New Roman"/>
                <w:b/>
                <w:bCs/>
                <w:sz w:val="20"/>
                <w:szCs w:val="20"/>
                <w:lang w:eastAsia="et-EE"/>
              </w:rPr>
              <w:t>7 407 047</w:t>
            </w:r>
          </w:p>
        </w:tc>
      </w:tr>
    </w:tbl>
    <w:p w14:paraId="73D6EEF6" w14:textId="4906A13E" w:rsidR="00FC710A" w:rsidRDefault="00FC710A" w:rsidP="002E590D">
      <w:pPr>
        <w:spacing w:after="0" w:line="240" w:lineRule="auto"/>
        <w:jc w:val="both"/>
        <w:rPr>
          <w:lang w:val="en-GB"/>
        </w:rPr>
      </w:pPr>
    </w:p>
    <w:p w14:paraId="4CE2C97B" w14:textId="2B45B2F3" w:rsidR="7996A9D9" w:rsidRDefault="7996A9D9" w:rsidP="002E590D">
      <w:pPr>
        <w:spacing w:after="0" w:line="240" w:lineRule="auto"/>
        <w:jc w:val="both"/>
        <w:rPr>
          <w:lang w:val="en-GB"/>
        </w:rPr>
      </w:pPr>
      <w:r w:rsidRPr="008F59C2">
        <w:rPr>
          <w:lang w:val="en-GB"/>
        </w:rPr>
        <w:t xml:space="preserve">To summarize, </w:t>
      </w:r>
      <w:r w:rsidR="008F59C2">
        <w:rPr>
          <w:lang w:val="en-GB"/>
        </w:rPr>
        <w:t>the figure</w:t>
      </w:r>
      <w:r w:rsidR="006B4299">
        <w:rPr>
          <w:lang w:val="en-GB"/>
        </w:rPr>
        <w:t xml:space="preserve"> 4</w:t>
      </w:r>
      <w:r w:rsidRPr="008F59C2">
        <w:rPr>
          <w:lang w:val="en-GB"/>
        </w:rPr>
        <w:t xml:space="preserve"> describes t</w:t>
      </w:r>
      <w:r w:rsidR="55098B08" w:rsidRPr="008F59C2">
        <w:rPr>
          <w:lang w:val="en-GB"/>
        </w:rPr>
        <w:t>he</w:t>
      </w:r>
      <w:r w:rsidRPr="008F59C2">
        <w:rPr>
          <w:lang w:val="en-GB"/>
        </w:rPr>
        <w:t xml:space="preserve"> total budget prognosis and share of </w:t>
      </w:r>
      <w:r w:rsidR="4CEE73AD" w:rsidRPr="008F59C2">
        <w:rPr>
          <w:lang w:val="en-GB"/>
        </w:rPr>
        <w:t xml:space="preserve">the various </w:t>
      </w:r>
      <w:r w:rsidR="005E33E4">
        <w:rPr>
          <w:lang w:val="en-GB"/>
        </w:rPr>
        <w:t>payment components.</w:t>
      </w:r>
    </w:p>
    <w:p w14:paraId="47036BC4" w14:textId="77777777" w:rsidR="005E33E4" w:rsidRPr="008F59C2" w:rsidRDefault="005E33E4" w:rsidP="002E590D">
      <w:pPr>
        <w:spacing w:after="0" w:line="240" w:lineRule="auto"/>
        <w:jc w:val="both"/>
        <w:rPr>
          <w:lang w:val="en-GB"/>
        </w:rPr>
      </w:pPr>
    </w:p>
    <w:p w14:paraId="55389B02" w14:textId="09DEE902" w:rsidR="008215BD" w:rsidRDefault="008215BD" w:rsidP="0064403E">
      <w:pPr>
        <w:spacing w:after="0" w:line="240" w:lineRule="auto"/>
        <w:rPr>
          <w:b/>
          <w:bCs/>
          <w:lang w:val="en-GB"/>
        </w:rPr>
      </w:pPr>
      <w:r>
        <w:rPr>
          <w:b/>
          <w:bCs/>
          <w:noProof/>
          <w:lang w:val="en-US"/>
        </w:rPr>
        <w:drawing>
          <wp:inline distT="0" distB="0" distL="0" distR="0" wp14:anchorId="3D091ADB" wp14:editId="333EC381">
            <wp:extent cx="6090285" cy="3213100"/>
            <wp:effectExtent l="0" t="0" r="5715" b="6350"/>
            <wp:docPr id="13" name="Pilt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90285" cy="3213100"/>
                    </a:xfrm>
                    <a:prstGeom prst="rect">
                      <a:avLst/>
                    </a:prstGeom>
                    <a:noFill/>
                  </pic:spPr>
                </pic:pic>
              </a:graphicData>
            </a:graphic>
          </wp:inline>
        </w:drawing>
      </w:r>
    </w:p>
    <w:p w14:paraId="08996960" w14:textId="46B62866" w:rsidR="0064403E" w:rsidRPr="0064403E" w:rsidRDefault="0064403E" w:rsidP="0064403E">
      <w:pPr>
        <w:spacing w:after="0" w:line="240" w:lineRule="auto"/>
        <w:rPr>
          <w:lang w:val="en-GB"/>
        </w:rPr>
      </w:pPr>
      <w:r w:rsidRPr="005E33E4">
        <w:rPr>
          <w:b/>
          <w:bCs/>
          <w:lang w:val="en-GB"/>
        </w:rPr>
        <w:t>Figure 4.</w:t>
      </w:r>
      <w:r>
        <w:rPr>
          <w:lang w:val="en-GB"/>
        </w:rPr>
        <w:t xml:space="preserve"> </w:t>
      </w:r>
      <w:r w:rsidR="005E33E4">
        <w:rPr>
          <w:lang w:val="en-GB"/>
        </w:rPr>
        <w:t>Total Budget prognosis</w:t>
      </w:r>
    </w:p>
    <w:p w14:paraId="194DB110" w14:textId="77777777" w:rsidR="0064403E" w:rsidRPr="0064403E" w:rsidRDefault="0064403E" w:rsidP="002E590D">
      <w:pPr>
        <w:spacing w:after="0" w:line="240" w:lineRule="auto"/>
        <w:jc w:val="center"/>
        <w:rPr>
          <w:lang w:val="en-GB"/>
        </w:rPr>
      </w:pPr>
    </w:p>
    <w:p w14:paraId="37992B58" w14:textId="474C525B" w:rsidR="27D2215C" w:rsidRPr="0064403E" w:rsidRDefault="15290270" w:rsidP="002E590D">
      <w:pPr>
        <w:spacing w:after="0" w:line="240" w:lineRule="auto"/>
        <w:jc w:val="both"/>
        <w:rPr>
          <w:lang w:val="en-GB"/>
        </w:rPr>
      </w:pPr>
      <w:r w:rsidRPr="0064403E">
        <w:rPr>
          <w:lang w:val="en-GB"/>
        </w:rPr>
        <w:t xml:space="preserve">For total budget impact, see calculations on </w:t>
      </w:r>
      <w:r w:rsidR="77EF736F" w:rsidRPr="0064403E">
        <w:rPr>
          <w:lang w:val="en-GB"/>
        </w:rPr>
        <w:t>Spreads</w:t>
      </w:r>
      <w:r w:rsidRPr="0064403E">
        <w:rPr>
          <w:lang w:val="en-GB"/>
        </w:rPr>
        <w:t>heet</w:t>
      </w:r>
      <w:r w:rsidR="06A5A5BA" w:rsidRPr="0064403E">
        <w:rPr>
          <w:lang w:val="en-GB"/>
        </w:rPr>
        <w:t xml:space="preserve"> C</w:t>
      </w:r>
      <w:r w:rsidRPr="0064403E">
        <w:rPr>
          <w:lang w:val="en-GB"/>
        </w:rPr>
        <w:t xml:space="preserve">apitation </w:t>
      </w:r>
      <w:r w:rsidR="7BD6A1D0" w:rsidRPr="0064403E">
        <w:rPr>
          <w:lang w:val="en-GB"/>
        </w:rPr>
        <w:t>S</w:t>
      </w:r>
      <w:r w:rsidRPr="0064403E">
        <w:rPr>
          <w:lang w:val="en-GB"/>
        </w:rPr>
        <w:t>ummary.</w:t>
      </w:r>
    </w:p>
    <w:p w14:paraId="0D11CB16" w14:textId="77777777" w:rsidR="00DB1F4D" w:rsidRPr="005053C3" w:rsidRDefault="00DB1F4D" w:rsidP="002E590D">
      <w:pPr>
        <w:spacing w:after="0" w:line="240" w:lineRule="auto"/>
        <w:jc w:val="both"/>
        <w:rPr>
          <w:lang w:val="en-GB"/>
        </w:rPr>
      </w:pPr>
    </w:p>
    <w:p w14:paraId="1AEEFBEB" w14:textId="0F7585B8" w:rsidR="00DB1F4D" w:rsidRPr="001B572A" w:rsidRDefault="005E33E4" w:rsidP="002E590D">
      <w:pPr>
        <w:pStyle w:val="Heading1"/>
        <w:spacing w:before="0" w:line="240" w:lineRule="auto"/>
        <w:rPr>
          <w:b/>
          <w:bCs/>
          <w:color w:val="auto"/>
          <w:lang w:val="en-GB"/>
        </w:rPr>
      </w:pPr>
      <w:bookmarkStart w:id="17" w:name="_Toc62149257"/>
      <w:r w:rsidRPr="001B572A">
        <w:rPr>
          <w:b/>
          <w:bCs/>
          <w:color w:val="auto"/>
          <w:lang w:val="en-GB"/>
        </w:rPr>
        <w:t xml:space="preserve">5. </w:t>
      </w:r>
      <w:r w:rsidR="00435CBE" w:rsidRPr="001B572A">
        <w:rPr>
          <w:b/>
          <w:bCs/>
          <w:color w:val="auto"/>
          <w:lang w:val="en-GB"/>
        </w:rPr>
        <w:t>Payment methods design</w:t>
      </w:r>
      <w:r w:rsidR="65C87E0D" w:rsidRPr="001B572A">
        <w:rPr>
          <w:b/>
          <w:bCs/>
          <w:color w:val="auto"/>
          <w:lang w:val="en-GB"/>
        </w:rPr>
        <w:t xml:space="preserve"> for baseline scenario</w:t>
      </w:r>
      <w:bookmarkEnd w:id="1"/>
      <w:bookmarkEnd w:id="17"/>
    </w:p>
    <w:p w14:paraId="24CBC4BF" w14:textId="77777777" w:rsidR="001B572A" w:rsidRDefault="001B572A" w:rsidP="002E590D">
      <w:pPr>
        <w:spacing w:after="0" w:line="240" w:lineRule="auto"/>
        <w:jc w:val="both"/>
        <w:rPr>
          <w:lang w:val="en-GB"/>
        </w:rPr>
      </w:pPr>
    </w:p>
    <w:p w14:paraId="2F423FDB" w14:textId="11DEA0CE" w:rsidR="00435CBE" w:rsidRDefault="00435CBE" w:rsidP="002E590D">
      <w:pPr>
        <w:spacing w:after="0" w:line="240" w:lineRule="auto"/>
        <w:jc w:val="both"/>
        <w:rPr>
          <w:lang w:val="en-GB"/>
        </w:rPr>
      </w:pPr>
      <w:r w:rsidRPr="005053C3">
        <w:rPr>
          <w:lang w:val="en-GB"/>
        </w:rPr>
        <w:t>The new payment system is a mix of capitated payment</w:t>
      </w:r>
      <w:r w:rsidR="10714855" w:rsidRPr="005053C3">
        <w:rPr>
          <w:lang w:val="en-GB"/>
        </w:rPr>
        <w:t xml:space="preserve">, </w:t>
      </w:r>
      <w:r w:rsidR="14878F01" w:rsidRPr="005053C3">
        <w:rPr>
          <w:lang w:val="en-GB"/>
        </w:rPr>
        <w:t xml:space="preserve">rent </w:t>
      </w:r>
      <w:r w:rsidR="10714855" w:rsidRPr="005053C3">
        <w:rPr>
          <w:lang w:val="en-GB"/>
        </w:rPr>
        <w:t>allowance and add</w:t>
      </w:r>
      <w:r w:rsidR="22EA036C" w:rsidRPr="005053C3">
        <w:rPr>
          <w:lang w:val="en-GB"/>
        </w:rPr>
        <w:t>-</w:t>
      </w:r>
      <w:r w:rsidR="10714855" w:rsidRPr="005053C3">
        <w:rPr>
          <w:lang w:val="en-GB"/>
        </w:rPr>
        <w:t>on payment</w:t>
      </w:r>
      <w:r w:rsidR="004BE530" w:rsidRPr="005053C3">
        <w:rPr>
          <w:lang w:val="en-GB"/>
        </w:rPr>
        <w:t>s</w:t>
      </w:r>
      <w:r w:rsidR="10714855" w:rsidRPr="005053C3">
        <w:rPr>
          <w:lang w:val="en-GB"/>
        </w:rPr>
        <w:t xml:space="preserve"> for priority services. For an average provider </w:t>
      </w:r>
      <w:r w:rsidR="4DC7A0C9" w:rsidRPr="005053C3">
        <w:rPr>
          <w:lang w:val="en-GB"/>
        </w:rPr>
        <w:t xml:space="preserve">with </w:t>
      </w:r>
      <w:r w:rsidR="00FF07E0" w:rsidRPr="006F228B">
        <w:rPr>
          <w:lang w:val="en-GB"/>
        </w:rPr>
        <w:t>1</w:t>
      </w:r>
      <w:r w:rsidR="10714855" w:rsidRPr="006F228B">
        <w:rPr>
          <w:lang w:val="en-GB"/>
        </w:rPr>
        <w:t xml:space="preserve">500 </w:t>
      </w:r>
      <w:r w:rsidR="5233AD21" w:rsidRPr="006F228B">
        <w:rPr>
          <w:lang w:val="en-GB"/>
        </w:rPr>
        <w:t xml:space="preserve">enrolled </w:t>
      </w:r>
      <w:r w:rsidR="10714855" w:rsidRPr="006F228B">
        <w:rPr>
          <w:lang w:val="en-GB"/>
        </w:rPr>
        <w:t xml:space="preserve">population </w:t>
      </w:r>
      <w:r w:rsidR="551136D3" w:rsidRPr="006F228B">
        <w:rPr>
          <w:lang w:val="en-GB"/>
        </w:rPr>
        <w:t xml:space="preserve">representative of the general population </w:t>
      </w:r>
      <w:r w:rsidR="3D780E00" w:rsidRPr="006F228B">
        <w:rPr>
          <w:lang w:val="en-GB"/>
        </w:rPr>
        <w:t>profile</w:t>
      </w:r>
      <w:r w:rsidR="10714855" w:rsidRPr="006F228B">
        <w:rPr>
          <w:lang w:val="en-GB"/>
        </w:rPr>
        <w:t>, t</w:t>
      </w:r>
      <w:r w:rsidR="5F445D57" w:rsidRPr="006F228B">
        <w:rPr>
          <w:lang w:val="en-GB"/>
        </w:rPr>
        <w:t>he a</w:t>
      </w:r>
      <w:r w:rsidR="5892BFDC" w:rsidRPr="006F228B">
        <w:rPr>
          <w:lang w:val="en-GB"/>
        </w:rPr>
        <w:t>v</w:t>
      </w:r>
      <w:r w:rsidR="5F445D57" w:rsidRPr="006F228B">
        <w:rPr>
          <w:lang w:val="en-GB"/>
        </w:rPr>
        <w:t xml:space="preserve">erage annual income would be </w:t>
      </w:r>
      <w:r w:rsidR="0007027E" w:rsidRPr="006F228B">
        <w:rPr>
          <w:lang w:val="en-GB"/>
        </w:rPr>
        <w:t>11</w:t>
      </w:r>
      <w:r w:rsidR="00064CA5" w:rsidRPr="006F228B">
        <w:rPr>
          <w:lang w:val="en-GB"/>
        </w:rPr>
        <w:t>0</w:t>
      </w:r>
      <w:r w:rsidR="005E33E4">
        <w:rPr>
          <w:lang w:val="en-GB"/>
        </w:rPr>
        <w:t xml:space="preserve"> </w:t>
      </w:r>
      <w:r w:rsidR="00064CA5" w:rsidRPr="006F228B">
        <w:rPr>
          <w:lang w:val="en-GB"/>
        </w:rPr>
        <w:t>533</w:t>
      </w:r>
      <w:r w:rsidR="4A0EFC78" w:rsidRPr="006F228B">
        <w:rPr>
          <w:lang w:val="en-GB"/>
        </w:rPr>
        <w:t xml:space="preserve"> GEL.</w:t>
      </w:r>
      <w:r w:rsidR="00FF07E0" w:rsidRPr="006F228B">
        <w:rPr>
          <w:lang w:val="en-GB"/>
        </w:rPr>
        <w:t xml:space="preserve"> For a group practice of 5 FDs with in total 10</w:t>
      </w:r>
      <w:r w:rsidR="00AC6537">
        <w:rPr>
          <w:lang w:val="en-GB"/>
        </w:rPr>
        <w:t xml:space="preserve"> </w:t>
      </w:r>
      <w:r w:rsidR="00FF07E0" w:rsidRPr="006F228B">
        <w:rPr>
          <w:lang w:val="en-GB"/>
        </w:rPr>
        <w:t xml:space="preserve">000 enrolled population </w:t>
      </w:r>
      <w:r w:rsidR="006C19D9">
        <w:rPr>
          <w:lang w:val="en-GB"/>
        </w:rPr>
        <w:t>t</w:t>
      </w:r>
      <w:r w:rsidR="00FF07E0" w:rsidRPr="006F228B">
        <w:rPr>
          <w:lang w:val="en-GB"/>
        </w:rPr>
        <w:t xml:space="preserve">he sum </w:t>
      </w:r>
      <w:r w:rsidR="006F228B">
        <w:rPr>
          <w:lang w:val="en-GB"/>
        </w:rPr>
        <w:t>w</w:t>
      </w:r>
      <w:r w:rsidR="00FF07E0" w:rsidRPr="006F228B">
        <w:rPr>
          <w:lang w:val="en-GB"/>
        </w:rPr>
        <w:t xml:space="preserve">ould </w:t>
      </w:r>
      <w:r w:rsidR="006F228B" w:rsidRPr="006F228B">
        <w:rPr>
          <w:lang w:val="en-GB"/>
        </w:rPr>
        <w:t>respectively</w:t>
      </w:r>
      <w:r w:rsidR="00FF07E0" w:rsidRPr="006F228B">
        <w:rPr>
          <w:lang w:val="en-GB"/>
        </w:rPr>
        <w:t xml:space="preserve"> be </w:t>
      </w:r>
      <w:r w:rsidR="006F228B" w:rsidRPr="006F228B">
        <w:rPr>
          <w:lang w:val="en-GB"/>
        </w:rPr>
        <w:t>593</w:t>
      </w:r>
      <w:r w:rsidR="005E33E4">
        <w:rPr>
          <w:lang w:val="en-GB"/>
        </w:rPr>
        <w:t xml:space="preserve"> </w:t>
      </w:r>
      <w:r w:rsidR="006F228B" w:rsidRPr="006F228B">
        <w:rPr>
          <w:lang w:val="en-GB"/>
        </w:rPr>
        <w:t>702 GEL</w:t>
      </w:r>
      <w:r w:rsidR="00FF07E0" w:rsidRPr="006F228B">
        <w:rPr>
          <w:lang w:val="en-GB"/>
        </w:rPr>
        <w:t>.</w:t>
      </w:r>
    </w:p>
    <w:p w14:paraId="4F4B0938" w14:textId="77777777" w:rsidR="000C096F" w:rsidRPr="005053C3" w:rsidRDefault="000C096F" w:rsidP="002E590D">
      <w:pPr>
        <w:spacing w:after="0" w:line="240" w:lineRule="auto"/>
        <w:jc w:val="both"/>
        <w:rPr>
          <w:lang w:val="en-GB"/>
        </w:rPr>
      </w:pPr>
    </w:p>
    <w:p w14:paraId="2DD66762" w14:textId="5F1BFBF8" w:rsidR="0007027E" w:rsidRPr="00014DBD" w:rsidRDefault="00064CA5" w:rsidP="002E590D">
      <w:pPr>
        <w:spacing w:after="0" w:line="240" w:lineRule="auto"/>
        <w:jc w:val="both"/>
        <w:rPr>
          <w:lang w:val="en-GB"/>
        </w:rPr>
      </w:pPr>
      <w:r>
        <w:rPr>
          <w:lang w:val="en-GB"/>
        </w:rPr>
        <w:t>The following tables</w:t>
      </w:r>
      <w:r w:rsidR="000C096F">
        <w:rPr>
          <w:lang w:val="en-GB"/>
        </w:rPr>
        <w:t xml:space="preserve"> 12 and 13</w:t>
      </w:r>
      <w:r>
        <w:rPr>
          <w:lang w:val="en-GB"/>
        </w:rPr>
        <w:t xml:space="preserve"> </w:t>
      </w:r>
      <w:r w:rsidRPr="00064CA5">
        <w:rPr>
          <w:lang w:val="en-GB"/>
        </w:rPr>
        <w:t>summarize the</w:t>
      </w:r>
      <w:r w:rsidR="0007027E" w:rsidRPr="00064CA5">
        <w:rPr>
          <w:lang w:val="en-GB"/>
        </w:rPr>
        <w:t xml:space="preserve"> </w:t>
      </w:r>
      <w:r w:rsidRPr="00064CA5">
        <w:rPr>
          <w:lang w:val="en-GB"/>
        </w:rPr>
        <w:t>p</w:t>
      </w:r>
      <w:r w:rsidR="0007027E" w:rsidRPr="00064CA5">
        <w:rPr>
          <w:lang w:val="en-GB"/>
        </w:rPr>
        <w:t xml:space="preserve">ayment design </w:t>
      </w:r>
      <w:r w:rsidRPr="00064CA5">
        <w:rPr>
          <w:lang w:val="en-GB"/>
        </w:rPr>
        <w:t>for a single</w:t>
      </w:r>
      <w:r w:rsidR="0007027E" w:rsidRPr="00064CA5">
        <w:rPr>
          <w:lang w:val="en-GB"/>
        </w:rPr>
        <w:t xml:space="preserve"> </w:t>
      </w:r>
      <w:r>
        <w:rPr>
          <w:lang w:val="en-GB"/>
        </w:rPr>
        <w:t xml:space="preserve">practitioner and for a group practice </w:t>
      </w:r>
      <w:r w:rsidRPr="00014DBD">
        <w:rPr>
          <w:lang w:val="en-GB"/>
        </w:rPr>
        <w:t>of 5 FD and FN teams.</w:t>
      </w:r>
    </w:p>
    <w:p w14:paraId="78733ECB" w14:textId="4F9E46B7" w:rsidR="00064CA5" w:rsidRDefault="00064CA5" w:rsidP="002E590D">
      <w:pPr>
        <w:spacing w:after="0" w:line="240" w:lineRule="auto"/>
        <w:jc w:val="both"/>
        <w:rPr>
          <w:lang w:val="en-GB"/>
        </w:rPr>
      </w:pPr>
    </w:p>
    <w:p w14:paraId="060BAA5C" w14:textId="089330AA" w:rsidR="000C096F" w:rsidRDefault="000C096F" w:rsidP="002E590D">
      <w:pPr>
        <w:spacing w:after="0" w:line="240" w:lineRule="auto"/>
        <w:jc w:val="both"/>
        <w:rPr>
          <w:lang w:val="en-GB"/>
        </w:rPr>
      </w:pPr>
    </w:p>
    <w:p w14:paraId="11BEA7CD" w14:textId="5A38263C" w:rsidR="000C096F" w:rsidRDefault="000C096F" w:rsidP="002E590D">
      <w:pPr>
        <w:spacing w:after="0" w:line="240" w:lineRule="auto"/>
        <w:jc w:val="both"/>
        <w:rPr>
          <w:lang w:val="en-GB"/>
        </w:rPr>
      </w:pPr>
    </w:p>
    <w:p w14:paraId="5A4C6FB6" w14:textId="4C706FBD" w:rsidR="000C096F" w:rsidRPr="00014DBD" w:rsidRDefault="000C096F" w:rsidP="002E590D">
      <w:pPr>
        <w:spacing w:after="0" w:line="240" w:lineRule="auto"/>
        <w:jc w:val="both"/>
        <w:rPr>
          <w:lang w:val="en-GB"/>
        </w:rPr>
      </w:pPr>
      <w:r w:rsidRPr="000C096F">
        <w:rPr>
          <w:b/>
          <w:bCs/>
          <w:lang w:val="en-GB"/>
        </w:rPr>
        <w:t>Table 12</w:t>
      </w:r>
      <w:r>
        <w:rPr>
          <w:lang w:val="en-GB"/>
        </w:rPr>
        <w:t>. Payment design for a single provider</w:t>
      </w:r>
    </w:p>
    <w:tbl>
      <w:tblPr>
        <w:tblStyle w:val="GridTable5Dark-Accent5"/>
        <w:tblW w:w="9997" w:type="dxa"/>
        <w:tblLook w:val="04A0" w:firstRow="1" w:lastRow="0" w:firstColumn="1" w:lastColumn="0" w:noHBand="0" w:noVBand="1"/>
      </w:tblPr>
      <w:tblGrid>
        <w:gridCol w:w="2019"/>
        <w:gridCol w:w="1998"/>
        <w:gridCol w:w="1681"/>
        <w:gridCol w:w="1064"/>
        <w:gridCol w:w="1492"/>
        <w:gridCol w:w="901"/>
        <w:gridCol w:w="842"/>
      </w:tblGrid>
      <w:tr w:rsidR="005E33E4" w:rsidRPr="005E33E4" w14:paraId="7AA60FD8" w14:textId="77777777" w:rsidTr="000C096F">
        <w:trPr>
          <w:cnfStyle w:val="100000000000" w:firstRow="1" w:lastRow="0" w:firstColumn="0" w:lastColumn="0" w:oddVBand="0" w:evenVBand="0" w:oddHBand="0" w:evenHBand="0" w:firstRowFirstColumn="0" w:firstRowLastColumn="0" w:lastRowFirstColumn="0" w:lastRowLastColumn="0"/>
          <w:trHeight w:val="657"/>
          <w:tblHeader/>
        </w:trPr>
        <w:tc>
          <w:tcPr>
            <w:cnfStyle w:val="001000000000" w:firstRow="0" w:lastRow="0" w:firstColumn="1" w:lastColumn="0" w:oddVBand="0" w:evenVBand="0" w:oddHBand="0" w:evenHBand="0" w:firstRowFirstColumn="0" w:firstRowLastColumn="0" w:lastRowFirstColumn="0" w:lastRowLastColumn="0"/>
            <w:tcW w:w="2019" w:type="dxa"/>
            <w:hideMark/>
          </w:tcPr>
          <w:p w14:paraId="55170D12" w14:textId="77777777" w:rsidR="006E6B16" w:rsidRPr="005E33E4" w:rsidRDefault="006E6B16" w:rsidP="002E590D">
            <w:pPr>
              <w:rPr>
                <w:rFonts w:ascii="Calibri" w:eastAsia="Times New Roman" w:hAnsi="Calibri" w:cs="Calibri"/>
                <w:color w:val="auto"/>
                <w:sz w:val="20"/>
                <w:szCs w:val="20"/>
                <w:lang w:val="en-US" w:eastAsia="et-EE"/>
              </w:rPr>
            </w:pPr>
            <w:r w:rsidRPr="005E33E4">
              <w:rPr>
                <w:rFonts w:ascii="Calibri" w:eastAsia="Times New Roman" w:hAnsi="Calibri" w:cs="Calibri"/>
                <w:color w:val="auto"/>
                <w:sz w:val="20"/>
                <w:szCs w:val="20"/>
                <w:lang w:val="en-US" w:eastAsia="et-EE"/>
              </w:rPr>
              <w:t>Baseline scenario</w:t>
            </w:r>
          </w:p>
        </w:tc>
        <w:tc>
          <w:tcPr>
            <w:tcW w:w="1998" w:type="dxa"/>
            <w:hideMark/>
          </w:tcPr>
          <w:p w14:paraId="705D539D" w14:textId="77777777" w:rsidR="006E6B16" w:rsidRPr="00014DBD" w:rsidRDefault="006E6B16" w:rsidP="002E590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0"/>
                <w:szCs w:val="20"/>
                <w:lang w:val="en-US" w:eastAsia="et-EE"/>
              </w:rPr>
            </w:pPr>
            <w:r w:rsidRPr="00014DBD">
              <w:rPr>
                <w:rFonts w:ascii="Calibri" w:eastAsia="Times New Roman" w:hAnsi="Calibri" w:cs="Calibri"/>
                <w:color w:val="auto"/>
                <w:sz w:val="20"/>
                <w:szCs w:val="20"/>
                <w:lang w:val="en-US" w:eastAsia="et-EE"/>
              </w:rPr>
              <w:t>Sub-packages</w:t>
            </w:r>
          </w:p>
        </w:tc>
        <w:tc>
          <w:tcPr>
            <w:tcW w:w="1681" w:type="dxa"/>
            <w:hideMark/>
          </w:tcPr>
          <w:p w14:paraId="475D9357" w14:textId="77777777" w:rsidR="006E6B16" w:rsidRPr="00014DBD" w:rsidRDefault="006E6B16" w:rsidP="002E590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0"/>
                <w:szCs w:val="20"/>
                <w:lang w:val="en-US" w:eastAsia="et-EE"/>
              </w:rPr>
            </w:pPr>
            <w:r w:rsidRPr="00014DBD">
              <w:rPr>
                <w:rFonts w:ascii="Calibri" w:eastAsia="Times New Roman" w:hAnsi="Calibri" w:cs="Calibri"/>
                <w:color w:val="auto"/>
                <w:sz w:val="20"/>
                <w:szCs w:val="20"/>
                <w:lang w:val="en-US" w:eastAsia="et-EE"/>
              </w:rPr>
              <w:t>Average population per FD and nurse</w:t>
            </w:r>
          </w:p>
        </w:tc>
        <w:tc>
          <w:tcPr>
            <w:tcW w:w="1064" w:type="dxa"/>
            <w:hideMark/>
          </w:tcPr>
          <w:p w14:paraId="6BEA3A42" w14:textId="77777777" w:rsidR="006E6B16" w:rsidRPr="00014DBD" w:rsidRDefault="006E6B16" w:rsidP="002E590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0"/>
                <w:szCs w:val="20"/>
                <w:lang w:val="en-US" w:eastAsia="et-EE"/>
              </w:rPr>
            </w:pPr>
            <w:r w:rsidRPr="00014DBD">
              <w:rPr>
                <w:rFonts w:ascii="Calibri" w:eastAsia="Times New Roman" w:hAnsi="Calibri" w:cs="Calibri"/>
                <w:color w:val="auto"/>
                <w:sz w:val="20"/>
                <w:szCs w:val="20"/>
                <w:lang w:val="en-US" w:eastAsia="et-EE"/>
              </w:rPr>
              <w:t>Monthly cost Per Enrollee</w:t>
            </w:r>
          </w:p>
        </w:tc>
        <w:tc>
          <w:tcPr>
            <w:tcW w:w="1492" w:type="dxa"/>
            <w:hideMark/>
          </w:tcPr>
          <w:p w14:paraId="13C9E506" w14:textId="25E4F6DB" w:rsidR="006E6B16" w:rsidRPr="00014DBD" w:rsidRDefault="006E6B16" w:rsidP="002E590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0"/>
                <w:szCs w:val="20"/>
                <w:lang w:val="en-US" w:eastAsia="et-EE"/>
              </w:rPr>
            </w:pPr>
            <w:r w:rsidRPr="00014DBD">
              <w:rPr>
                <w:rFonts w:ascii="Calibri" w:eastAsia="Times New Roman" w:hAnsi="Calibri" w:cs="Calibri"/>
                <w:color w:val="auto"/>
                <w:sz w:val="20"/>
                <w:szCs w:val="20"/>
                <w:lang w:val="en-US" w:eastAsia="et-EE"/>
              </w:rPr>
              <w:t>Monthly lump</w:t>
            </w:r>
            <w:r w:rsidR="005C7C51" w:rsidRPr="00014DBD">
              <w:rPr>
                <w:rFonts w:ascii="Calibri" w:eastAsia="Times New Roman" w:hAnsi="Calibri" w:cs="Calibri"/>
                <w:color w:val="auto"/>
                <w:sz w:val="20"/>
                <w:szCs w:val="20"/>
                <w:lang w:val="en-US" w:eastAsia="et-EE"/>
              </w:rPr>
              <w:t>-</w:t>
            </w:r>
            <w:r w:rsidRPr="00014DBD">
              <w:rPr>
                <w:rFonts w:ascii="Calibri" w:eastAsia="Times New Roman" w:hAnsi="Calibri" w:cs="Calibri"/>
                <w:color w:val="auto"/>
                <w:sz w:val="20"/>
                <w:szCs w:val="20"/>
                <w:lang w:val="en-US" w:eastAsia="et-EE"/>
              </w:rPr>
              <w:t xml:space="preserve"> sum</w:t>
            </w:r>
            <w:r w:rsidR="005C7C51" w:rsidRPr="00014DBD">
              <w:rPr>
                <w:rFonts w:ascii="Calibri" w:eastAsia="Times New Roman" w:hAnsi="Calibri" w:cs="Calibri"/>
                <w:color w:val="auto"/>
                <w:sz w:val="20"/>
                <w:szCs w:val="20"/>
                <w:lang w:val="en-US" w:eastAsia="et-EE"/>
              </w:rPr>
              <w:t>/capitation</w:t>
            </w:r>
          </w:p>
        </w:tc>
        <w:tc>
          <w:tcPr>
            <w:tcW w:w="901" w:type="dxa"/>
            <w:hideMark/>
          </w:tcPr>
          <w:p w14:paraId="4363D226" w14:textId="72485D93" w:rsidR="006E6B16" w:rsidRPr="00014DBD" w:rsidRDefault="006E6B16" w:rsidP="002E590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0"/>
                <w:szCs w:val="20"/>
                <w:lang w:val="en-US" w:eastAsia="et-EE"/>
              </w:rPr>
            </w:pPr>
            <w:r w:rsidRPr="00014DBD">
              <w:rPr>
                <w:rFonts w:ascii="Calibri" w:eastAsia="Times New Roman" w:hAnsi="Calibri" w:cs="Calibri"/>
                <w:color w:val="auto"/>
                <w:sz w:val="20"/>
                <w:szCs w:val="20"/>
                <w:lang w:val="en-US" w:eastAsia="et-EE"/>
              </w:rPr>
              <w:t xml:space="preserve">Annual budget per FD and </w:t>
            </w:r>
            <w:r w:rsidR="00A0718F" w:rsidRPr="00014DBD">
              <w:rPr>
                <w:rFonts w:ascii="Calibri" w:eastAsia="Times New Roman" w:hAnsi="Calibri" w:cs="Calibri"/>
                <w:color w:val="auto"/>
                <w:sz w:val="20"/>
                <w:szCs w:val="20"/>
                <w:lang w:val="en-US" w:eastAsia="et-EE"/>
              </w:rPr>
              <w:t>FN</w:t>
            </w:r>
          </w:p>
        </w:tc>
        <w:tc>
          <w:tcPr>
            <w:tcW w:w="842" w:type="dxa"/>
            <w:hideMark/>
          </w:tcPr>
          <w:p w14:paraId="6781D3C5" w14:textId="77777777" w:rsidR="006E6B16" w:rsidRPr="00014DBD" w:rsidRDefault="006E6B16" w:rsidP="002E590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auto"/>
                <w:sz w:val="20"/>
                <w:szCs w:val="20"/>
                <w:lang w:val="en-US" w:eastAsia="et-EE"/>
              </w:rPr>
            </w:pPr>
            <w:r w:rsidRPr="00014DBD">
              <w:rPr>
                <w:rFonts w:ascii="Calibri" w:eastAsia="Times New Roman" w:hAnsi="Calibri" w:cs="Calibri"/>
                <w:color w:val="auto"/>
                <w:sz w:val="20"/>
                <w:szCs w:val="20"/>
                <w:lang w:val="en-US" w:eastAsia="et-EE"/>
              </w:rPr>
              <w:t>% of total annual budget</w:t>
            </w:r>
          </w:p>
        </w:tc>
      </w:tr>
      <w:tr w:rsidR="005E33E4" w:rsidRPr="005E33E4" w14:paraId="75BDA65B" w14:textId="77777777" w:rsidTr="000C096F">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2019" w:type="dxa"/>
            <w:vMerge w:val="restart"/>
            <w:noWrap/>
            <w:hideMark/>
          </w:tcPr>
          <w:p w14:paraId="4FBAC528" w14:textId="77777777" w:rsidR="006E6B16" w:rsidRPr="005E33E4" w:rsidRDefault="006E6B16" w:rsidP="002E590D">
            <w:pPr>
              <w:jc w:val="center"/>
              <w:rPr>
                <w:rFonts w:ascii="Calibri" w:eastAsia="Times New Roman" w:hAnsi="Calibri" w:cs="Calibri"/>
                <w:color w:val="auto"/>
                <w:sz w:val="20"/>
                <w:szCs w:val="20"/>
                <w:lang w:val="en-US" w:eastAsia="et-EE"/>
              </w:rPr>
            </w:pPr>
            <w:r w:rsidRPr="005E33E4">
              <w:rPr>
                <w:rFonts w:ascii="Calibri" w:eastAsia="Times New Roman" w:hAnsi="Calibri" w:cs="Calibri"/>
                <w:color w:val="auto"/>
                <w:sz w:val="20"/>
                <w:szCs w:val="20"/>
                <w:lang w:val="en-US" w:eastAsia="et-EE"/>
              </w:rPr>
              <w:t>Basic capitation</w:t>
            </w:r>
          </w:p>
        </w:tc>
        <w:tc>
          <w:tcPr>
            <w:tcW w:w="1998" w:type="dxa"/>
            <w:hideMark/>
          </w:tcPr>
          <w:p w14:paraId="4B2A7AC1" w14:textId="77777777" w:rsidR="006E6B16" w:rsidRPr="005E33E4" w:rsidRDefault="006E6B16" w:rsidP="002E59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et-EE"/>
              </w:rPr>
            </w:pPr>
            <w:r w:rsidRPr="005E33E4">
              <w:rPr>
                <w:rFonts w:ascii="Calibri" w:eastAsia="Times New Roman" w:hAnsi="Calibri" w:cs="Calibri"/>
                <w:sz w:val="20"/>
                <w:szCs w:val="20"/>
                <w:lang w:val="en-US" w:eastAsia="et-EE"/>
              </w:rPr>
              <w:t>Minimum costs</w:t>
            </w:r>
          </w:p>
        </w:tc>
        <w:tc>
          <w:tcPr>
            <w:tcW w:w="1681" w:type="dxa"/>
            <w:vMerge w:val="restart"/>
            <w:noWrap/>
            <w:hideMark/>
          </w:tcPr>
          <w:p w14:paraId="37B4152E" w14:textId="77777777" w:rsidR="006E6B16" w:rsidRPr="005E33E4" w:rsidRDefault="006E6B16"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et-EE"/>
              </w:rPr>
            </w:pPr>
            <w:r w:rsidRPr="005E33E4">
              <w:rPr>
                <w:rFonts w:ascii="Calibri" w:eastAsia="Times New Roman" w:hAnsi="Calibri" w:cs="Calibri"/>
                <w:sz w:val="20"/>
                <w:szCs w:val="20"/>
                <w:lang w:val="en-US" w:eastAsia="et-EE"/>
              </w:rPr>
              <w:t>1500</w:t>
            </w:r>
          </w:p>
        </w:tc>
        <w:tc>
          <w:tcPr>
            <w:tcW w:w="1064" w:type="dxa"/>
            <w:noWrap/>
            <w:hideMark/>
          </w:tcPr>
          <w:p w14:paraId="129D621A" w14:textId="77777777" w:rsidR="006E6B16" w:rsidRPr="005E33E4" w:rsidRDefault="006E6B16"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et-EE"/>
              </w:rPr>
            </w:pPr>
            <w:r w:rsidRPr="005E33E4">
              <w:rPr>
                <w:rFonts w:ascii="Calibri" w:eastAsia="Times New Roman" w:hAnsi="Calibri" w:cs="Calibri"/>
                <w:sz w:val="20"/>
                <w:szCs w:val="20"/>
                <w:lang w:val="en-US" w:eastAsia="et-EE"/>
              </w:rPr>
              <w:t>3,33</w:t>
            </w:r>
          </w:p>
        </w:tc>
        <w:tc>
          <w:tcPr>
            <w:tcW w:w="1492" w:type="dxa"/>
            <w:noWrap/>
            <w:hideMark/>
          </w:tcPr>
          <w:p w14:paraId="3AC93180" w14:textId="6CDF0D36" w:rsidR="006E6B16" w:rsidRPr="005E33E4" w:rsidRDefault="006E6B16"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et-EE"/>
              </w:rPr>
            </w:pPr>
            <w:r w:rsidRPr="005E33E4">
              <w:rPr>
                <w:rFonts w:ascii="Calibri" w:eastAsia="Times New Roman" w:hAnsi="Calibri" w:cs="Calibri"/>
                <w:sz w:val="20"/>
                <w:szCs w:val="20"/>
                <w:lang w:val="en-US" w:eastAsia="et-EE"/>
              </w:rPr>
              <w:t>4 990</w:t>
            </w:r>
          </w:p>
        </w:tc>
        <w:tc>
          <w:tcPr>
            <w:tcW w:w="901" w:type="dxa"/>
            <w:noWrap/>
            <w:hideMark/>
          </w:tcPr>
          <w:p w14:paraId="537CBBDD" w14:textId="77777777" w:rsidR="006E6B16" w:rsidRPr="005E33E4" w:rsidRDefault="006E6B16"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et-EE"/>
              </w:rPr>
            </w:pPr>
            <w:r w:rsidRPr="005E33E4">
              <w:rPr>
                <w:rFonts w:ascii="Calibri" w:eastAsia="Times New Roman" w:hAnsi="Calibri" w:cs="Calibri"/>
                <w:sz w:val="20"/>
                <w:szCs w:val="20"/>
                <w:lang w:val="en-US" w:eastAsia="et-EE"/>
              </w:rPr>
              <w:t>59 884</w:t>
            </w:r>
          </w:p>
        </w:tc>
        <w:tc>
          <w:tcPr>
            <w:tcW w:w="842" w:type="dxa"/>
            <w:noWrap/>
            <w:hideMark/>
          </w:tcPr>
          <w:p w14:paraId="733FE83F" w14:textId="77777777" w:rsidR="006E6B16" w:rsidRPr="005E33E4" w:rsidRDefault="006E6B16"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et-EE"/>
              </w:rPr>
            </w:pPr>
            <w:r w:rsidRPr="005E33E4">
              <w:rPr>
                <w:rFonts w:ascii="Calibri" w:eastAsia="Times New Roman" w:hAnsi="Calibri" w:cs="Calibri"/>
                <w:sz w:val="20"/>
                <w:szCs w:val="20"/>
                <w:lang w:val="en-US" w:eastAsia="et-EE"/>
              </w:rPr>
              <w:t>54%</w:t>
            </w:r>
          </w:p>
        </w:tc>
      </w:tr>
      <w:tr w:rsidR="005E33E4" w:rsidRPr="005E33E4" w14:paraId="2BF29783" w14:textId="77777777" w:rsidTr="000C096F">
        <w:trPr>
          <w:trHeight w:val="218"/>
        </w:trPr>
        <w:tc>
          <w:tcPr>
            <w:cnfStyle w:val="001000000000" w:firstRow="0" w:lastRow="0" w:firstColumn="1" w:lastColumn="0" w:oddVBand="0" w:evenVBand="0" w:oddHBand="0" w:evenHBand="0" w:firstRowFirstColumn="0" w:firstRowLastColumn="0" w:lastRowFirstColumn="0" w:lastRowLastColumn="0"/>
            <w:tcW w:w="2019" w:type="dxa"/>
            <w:vMerge/>
            <w:hideMark/>
          </w:tcPr>
          <w:p w14:paraId="07A3D970" w14:textId="77777777" w:rsidR="006E6B16" w:rsidRPr="005E33E4" w:rsidRDefault="006E6B16" w:rsidP="002E590D">
            <w:pPr>
              <w:rPr>
                <w:rFonts w:ascii="Calibri" w:eastAsia="Times New Roman" w:hAnsi="Calibri" w:cs="Calibri"/>
                <w:color w:val="auto"/>
                <w:sz w:val="20"/>
                <w:szCs w:val="20"/>
                <w:lang w:val="en-US" w:eastAsia="et-EE"/>
              </w:rPr>
            </w:pPr>
          </w:p>
        </w:tc>
        <w:tc>
          <w:tcPr>
            <w:tcW w:w="1998" w:type="dxa"/>
            <w:hideMark/>
          </w:tcPr>
          <w:p w14:paraId="33D95237" w14:textId="77777777" w:rsidR="006E6B16" w:rsidRPr="005E33E4" w:rsidRDefault="006E6B16" w:rsidP="002E5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US" w:eastAsia="et-EE"/>
              </w:rPr>
            </w:pPr>
            <w:r w:rsidRPr="005E33E4">
              <w:rPr>
                <w:rFonts w:ascii="Calibri" w:eastAsia="Times New Roman" w:hAnsi="Calibri" w:cs="Calibri"/>
                <w:sz w:val="20"/>
                <w:szCs w:val="20"/>
                <w:lang w:val="en-US" w:eastAsia="et-EE"/>
              </w:rPr>
              <w:t>Laboratory tests</w:t>
            </w:r>
          </w:p>
        </w:tc>
        <w:tc>
          <w:tcPr>
            <w:tcW w:w="1681" w:type="dxa"/>
            <w:vMerge/>
            <w:hideMark/>
          </w:tcPr>
          <w:p w14:paraId="3333C81F" w14:textId="77777777" w:rsidR="006E6B16" w:rsidRPr="005E33E4" w:rsidRDefault="006E6B16" w:rsidP="002E5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US" w:eastAsia="et-EE"/>
              </w:rPr>
            </w:pPr>
          </w:p>
        </w:tc>
        <w:tc>
          <w:tcPr>
            <w:tcW w:w="1064" w:type="dxa"/>
            <w:noWrap/>
            <w:hideMark/>
          </w:tcPr>
          <w:p w14:paraId="64911351" w14:textId="77777777" w:rsidR="006E6B16" w:rsidRPr="005E33E4" w:rsidRDefault="006E6B16"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US" w:eastAsia="et-EE"/>
              </w:rPr>
            </w:pPr>
            <w:r w:rsidRPr="005E33E4">
              <w:rPr>
                <w:rFonts w:ascii="Calibri" w:eastAsia="Times New Roman" w:hAnsi="Calibri" w:cs="Calibri"/>
                <w:sz w:val="20"/>
                <w:szCs w:val="20"/>
                <w:lang w:val="en-US" w:eastAsia="et-EE"/>
              </w:rPr>
              <w:t>0,57</w:t>
            </w:r>
          </w:p>
        </w:tc>
        <w:tc>
          <w:tcPr>
            <w:tcW w:w="1492" w:type="dxa"/>
            <w:noWrap/>
            <w:hideMark/>
          </w:tcPr>
          <w:p w14:paraId="2C9F0443" w14:textId="77777777" w:rsidR="006E6B16" w:rsidRPr="005E33E4" w:rsidRDefault="006E6B16" w:rsidP="002E5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US" w:eastAsia="et-EE"/>
              </w:rPr>
            </w:pPr>
            <w:r w:rsidRPr="005E33E4">
              <w:rPr>
                <w:rFonts w:ascii="Calibri" w:eastAsia="Times New Roman" w:hAnsi="Calibri" w:cs="Calibri"/>
                <w:sz w:val="20"/>
                <w:szCs w:val="20"/>
                <w:lang w:val="en-US" w:eastAsia="et-EE"/>
              </w:rPr>
              <w:t> </w:t>
            </w:r>
          </w:p>
        </w:tc>
        <w:tc>
          <w:tcPr>
            <w:tcW w:w="901" w:type="dxa"/>
            <w:noWrap/>
            <w:hideMark/>
          </w:tcPr>
          <w:p w14:paraId="6B733F27" w14:textId="77777777" w:rsidR="006E6B16" w:rsidRPr="005E33E4" w:rsidRDefault="006E6B16"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US" w:eastAsia="et-EE"/>
              </w:rPr>
            </w:pPr>
            <w:r w:rsidRPr="005E33E4">
              <w:rPr>
                <w:rFonts w:ascii="Calibri" w:eastAsia="Times New Roman" w:hAnsi="Calibri" w:cs="Calibri"/>
                <w:sz w:val="20"/>
                <w:szCs w:val="20"/>
                <w:lang w:val="en-US" w:eastAsia="et-EE"/>
              </w:rPr>
              <w:t>10 188</w:t>
            </w:r>
          </w:p>
        </w:tc>
        <w:tc>
          <w:tcPr>
            <w:tcW w:w="842" w:type="dxa"/>
            <w:noWrap/>
            <w:hideMark/>
          </w:tcPr>
          <w:p w14:paraId="3F4A9994" w14:textId="77777777" w:rsidR="006E6B16" w:rsidRPr="005E33E4" w:rsidRDefault="006E6B16"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US" w:eastAsia="et-EE"/>
              </w:rPr>
            </w:pPr>
            <w:r w:rsidRPr="005E33E4">
              <w:rPr>
                <w:rFonts w:ascii="Calibri" w:eastAsia="Times New Roman" w:hAnsi="Calibri" w:cs="Calibri"/>
                <w:sz w:val="20"/>
                <w:szCs w:val="20"/>
                <w:lang w:val="en-US" w:eastAsia="et-EE"/>
              </w:rPr>
              <w:t>9%</w:t>
            </w:r>
          </w:p>
        </w:tc>
      </w:tr>
      <w:tr w:rsidR="005E33E4" w:rsidRPr="005E33E4" w14:paraId="03F7FFA8" w14:textId="77777777" w:rsidTr="000C096F">
        <w:trPr>
          <w:cnfStyle w:val="000000100000" w:firstRow="0" w:lastRow="0" w:firstColumn="0" w:lastColumn="0" w:oddVBand="0" w:evenVBand="0" w:oddHBand="1"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2019" w:type="dxa"/>
            <w:vMerge w:val="restart"/>
            <w:noWrap/>
            <w:hideMark/>
          </w:tcPr>
          <w:p w14:paraId="14AB40C7" w14:textId="77777777" w:rsidR="006E6B16" w:rsidRPr="005E33E4" w:rsidRDefault="006E6B16" w:rsidP="002E590D">
            <w:pPr>
              <w:jc w:val="center"/>
              <w:rPr>
                <w:rFonts w:ascii="Calibri" w:eastAsia="Times New Roman" w:hAnsi="Calibri" w:cs="Calibri"/>
                <w:color w:val="auto"/>
                <w:sz w:val="20"/>
                <w:szCs w:val="20"/>
                <w:lang w:val="en-US" w:eastAsia="et-EE"/>
              </w:rPr>
            </w:pPr>
            <w:r w:rsidRPr="005E33E4">
              <w:rPr>
                <w:rFonts w:ascii="Calibri" w:eastAsia="Times New Roman" w:hAnsi="Calibri" w:cs="Calibri"/>
                <w:color w:val="auto"/>
                <w:sz w:val="20"/>
                <w:szCs w:val="20"/>
                <w:lang w:val="en-US" w:eastAsia="et-EE"/>
              </w:rPr>
              <w:t>Priority packages</w:t>
            </w:r>
          </w:p>
        </w:tc>
        <w:tc>
          <w:tcPr>
            <w:tcW w:w="1998" w:type="dxa"/>
            <w:hideMark/>
          </w:tcPr>
          <w:p w14:paraId="08E0D103" w14:textId="77777777" w:rsidR="006E6B16" w:rsidRPr="005E33E4" w:rsidRDefault="006E6B16" w:rsidP="002E59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et-EE"/>
              </w:rPr>
            </w:pPr>
            <w:r w:rsidRPr="005E33E4">
              <w:rPr>
                <w:rFonts w:ascii="Calibri" w:eastAsia="Times New Roman" w:hAnsi="Calibri" w:cs="Calibri"/>
                <w:sz w:val="20"/>
                <w:szCs w:val="20"/>
                <w:lang w:val="en-US" w:eastAsia="et-EE"/>
              </w:rPr>
              <w:t>NCD package (asthma, diabetes and hypertension)</w:t>
            </w:r>
          </w:p>
        </w:tc>
        <w:tc>
          <w:tcPr>
            <w:tcW w:w="1681" w:type="dxa"/>
            <w:noWrap/>
            <w:hideMark/>
          </w:tcPr>
          <w:p w14:paraId="33BF14D7" w14:textId="77777777" w:rsidR="006E6B16" w:rsidRPr="005E33E4" w:rsidRDefault="006E6B16"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et-EE"/>
              </w:rPr>
            </w:pPr>
            <w:r w:rsidRPr="005E33E4">
              <w:rPr>
                <w:rFonts w:ascii="Calibri" w:eastAsia="Times New Roman" w:hAnsi="Calibri" w:cs="Calibri"/>
                <w:sz w:val="20"/>
                <w:szCs w:val="20"/>
                <w:lang w:val="en-US" w:eastAsia="et-EE"/>
              </w:rPr>
              <w:t>646</w:t>
            </w:r>
          </w:p>
        </w:tc>
        <w:tc>
          <w:tcPr>
            <w:tcW w:w="1064" w:type="dxa"/>
            <w:noWrap/>
            <w:hideMark/>
          </w:tcPr>
          <w:p w14:paraId="448F5126" w14:textId="77777777" w:rsidR="006E6B16" w:rsidRPr="005E33E4" w:rsidRDefault="006E6B16"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et-EE"/>
              </w:rPr>
            </w:pPr>
            <w:r w:rsidRPr="005E33E4">
              <w:rPr>
                <w:rFonts w:ascii="Calibri" w:eastAsia="Times New Roman" w:hAnsi="Calibri" w:cs="Calibri"/>
                <w:sz w:val="20"/>
                <w:szCs w:val="20"/>
                <w:lang w:val="en-US" w:eastAsia="et-EE"/>
              </w:rPr>
              <w:t> </w:t>
            </w:r>
          </w:p>
        </w:tc>
        <w:tc>
          <w:tcPr>
            <w:tcW w:w="1492" w:type="dxa"/>
            <w:noWrap/>
            <w:hideMark/>
          </w:tcPr>
          <w:p w14:paraId="4928FEDD" w14:textId="77777777" w:rsidR="006E6B16" w:rsidRPr="005E33E4" w:rsidRDefault="006E6B16"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et-EE"/>
              </w:rPr>
            </w:pPr>
            <w:r w:rsidRPr="005E33E4">
              <w:rPr>
                <w:rFonts w:ascii="Calibri" w:eastAsia="Times New Roman" w:hAnsi="Calibri" w:cs="Calibri"/>
                <w:sz w:val="20"/>
                <w:szCs w:val="20"/>
                <w:lang w:val="en-US" w:eastAsia="et-EE"/>
              </w:rPr>
              <w:t>4,79</w:t>
            </w:r>
          </w:p>
        </w:tc>
        <w:tc>
          <w:tcPr>
            <w:tcW w:w="901" w:type="dxa"/>
            <w:noWrap/>
            <w:hideMark/>
          </w:tcPr>
          <w:p w14:paraId="44C638E1" w14:textId="77777777" w:rsidR="006E6B16" w:rsidRPr="005E33E4" w:rsidRDefault="006E6B16"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et-EE"/>
              </w:rPr>
            </w:pPr>
            <w:r w:rsidRPr="005E33E4">
              <w:rPr>
                <w:rFonts w:ascii="Calibri" w:eastAsia="Times New Roman" w:hAnsi="Calibri" w:cs="Calibri"/>
                <w:sz w:val="20"/>
                <w:szCs w:val="20"/>
                <w:lang w:val="en-US" w:eastAsia="et-EE"/>
              </w:rPr>
              <w:t>26 003</w:t>
            </w:r>
          </w:p>
        </w:tc>
        <w:tc>
          <w:tcPr>
            <w:tcW w:w="842" w:type="dxa"/>
            <w:noWrap/>
            <w:hideMark/>
          </w:tcPr>
          <w:p w14:paraId="0380EC5B" w14:textId="77777777" w:rsidR="006E6B16" w:rsidRPr="005E33E4" w:rsidRDefault="006E6B16"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et-EE"/>
              </w:rPr>
            </w:pPr>
            <w:r w:rsidRPr="005E33E4">
              <w:rPr>
                <w:rFonts w:ascii="Calibri" w:eastAsia="Times New Roman" w:hAnsi="Calibri" w:cs="Calibri"/>
                <w:sz w:val="20"/>
                <w:szCs w:val="20"/>
                <w:lang w:val="en-US" w:eastAsia="et-EE"/>
              </w:rPr>
              <w:t>24%</w:t>
            </w:r>
          </w:p>
        </w:tc>
      </w:tr>
      <w:tr w:rsidR="005E33E4" w:rsidRPr="005E33E4" w14:paraId="49E0CF88" w14:textId="77777777" w:rsidTr="000C096F">
        <w:trPr>
          <w:trHeight w:val="218"/>
        </w:trPr>
        <w:tc>
          <w:tcPr>
            <w:cnfStyle w:val="001000000000" w:firstRow="0" w:lastRow="0" w:firstColumn="1" w:lastColumn="0" w:oddVBand="0" w:evenVBand="0" w:oddHBand="0" w:evenHBand="0" w:firstRowFirstColumn="0" w:firstRowLastColumn="0" w:lastRowFirstColumn="0" w:lastRowLastColumn="0"/>
            <w:tcW w:w="2019" w:type="dxa"/>
            <w:vMerge/>
            <w:hideMark/>
          </w:tcPr>
          <w:p w14:paraId="5C178408" w14:textId="77777777" w:rsidR="006E6B16" w:rsidRPr="005E33E4" w:rsidRDefault="006E6B16" w:rsidP="002E590D">
            <w:pPr>
              <w:rPr>
                <w:rFonts w:ascii="Calibri" w:eastAsia="Times New Roman" w:hAnsi="Calibri" w:cs="Calibri"/>
                <w:color w:val="auto"/>
                <w:sz w:val="20"/>
                <w:szCs w:val="20"/>
                <w:lang w:val="en-US" w:eastAsia="et-EE"/>
              </w:rPr>
            </w:pPr>
          </w:p>
        </w:tc>
        <w:tc>
          <w:tcPr>
            <w:tcW w:w="1998" w:type="dxa"/>
            <w:hideMark/>
          </w:tcPr>
          <w:p w14:paraId="0D3102FF" w14:textId="77777777" w:rsidR="006E6B16" w:rsidRPr="005E33E4" w:rsidRDefault="006E6B16" w:rsidP="002E5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US" w:eastAsia="et-EE"/>
              </w:rPr>
            </w:pPr>
            <w:r w:rsidRPr="005E33E4">
              <w:rPr>
                <w:rFonts w:ascii="Calibri" w:eastAsia="Times New Roman" w:hAnsi="Calibri" w:cs="Calibri"/>
                <w:sz w:val="20"/>
                <w:szCs w:val="20"/>
                <w:lang w:val="en-US" w:eastAsia="et-EE"/>
              </w:rPr>
              <w:t>Child health (0-5) package</w:t>
            </w:r>
          </w:p>
        </w:tc>
        <w:tc>
          <w:tcPr>
            <w:tcW w:w="1681" w:type="dxa"/>
            <w:noWrap/>
            <w:hideMark/>
          </w:tcPr>
          <w:p w14:paraId="2C4CAD2E" w14:textId="77777777" w:rsidR="006E6B16" w:rsidRPr="005E33E4" w:rsidRDefault="006E6B16"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US" w:eastAsia="et-EE"/>
              </w:rPr>
            </w:pPr>
            <w:r w:rsidRPr="005E33E4">
              <w:rPr>
                <w:rFonts w:ascii="Calibri" w:eastAsia="Times New Roman" w:hAnsi="Calibri" w:cs="Calibri"/>
                <w:sz w:val="20"/>
                <w:szCs w:val="20"/>
                <w:lang w:val="en-US" w:eastAsia="et-EE"/>
              </w:rPr>
              <w:t>182</w:t>
            </w:r>
          </w:p>
        </w:tc>
        <w:tc>
          <w:tcPr>
            <w:tcW w:w="1064" w:type="dxa"/>
            <w:noWrap/>
            <w:hideMark/>
          </w:tcPr>
          <w:p w14:paraId="149C8E90" w14:textId="77777777" w:rsidR="006E6B16" w:rsidRPr="005E33E4" w:rsidRDefault="006E6B16"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US" w:eastAsia="et-EE"/>
              </w:rPr>
            </w:pPr>
            <w:r w:rsidRPr="005E33E4">
              <w:rPr>
                <w:rFonts w:ascii="Calibri" w:eastAsia="Times New Roman" w:hAnsi="Calibri" w:cs="Calibri"/>
                <w:sz w:val="20"/>
                <w:szCs w:val="20"/>
                <w:lang w:val="en-US" w:eastAsia="et-EE"/>
              </w:rPr>
              <w:t> </w:t>
            </w:r>
          </w:p>
        </w:tc>
        <w:tc>
          <w:tcPr>
            <w:tcW w:w="1492" w:type="dxa"/>
            <w:noWrap/>
            <w:hideMark/>
          </w:tcPr>
          <w:p w14:paraId="5515DD6A" w14:textId="77777777" w:rsidR="006E6B16" w:rsidRPr="005E33E4" w:rsidRDefault="006E6B16"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US" w:eastAsia="et-EE"/>
              </w:rPr>
            </w:pPr>
            <w:r w:rsidRPr="005E33E4">
              <w:rPr>
                <w:rFonts w:ascii="Calibri" w:eastAsia="Times New Roman" w:hAnsi="Calibri" w:cs="Calibri"/>
                <w:sz w:val="20"/>
                <w:szCs w:val="20"/>
                <w:lang w:val="en-US" w:eastAsia="et-EE"/>
              </w:rPr>
              <w:t>2,38</w:t>
            </w:r>
          </w:p>
        </w:tc>
        <w:tc>
          <w:tcPr>
            <w:tcW w:w="901" w:type="dxa"/>
            <w:noWrap/>
            <w:hideMark/>
          </w:tcPr>
          <w:p w14:paraId="42DC00B4" w14:textId="77777777" w:rsidR="006E6B16" w:rsidRPr="005E33E4" w:rsidRDefault="006E6B16"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US" w:eastAsia="et-EE"/>
              </w:rPr>
            </w:pPr>
            <w:r w:rsidRPr="005E33E4">
              <w:rPr>
                <w:rFonts w:ascii="Calibri" w:eastAsia="Times New Roman" w:hAnsi="Calibri" w:cs="Calibri"/>
                <w:sz w:val="20"/>
                <w:szCs w:val="20"/>
                <w:lang w:val="en-US" w:eastAsia="et-EE"/>
              </w:rPr>
              <w:t>5 198</w:t>
            </w:r>
          </w:p>
        </w:tc>
        <w:tc>
          <w:tcPr>
            <w:tcW w:w="842" w:type="dxa"/>
            <w:noWrap/>
            <w:hideMark/>
          </w:tcPr>
          <w:p w14:paraId="0D13C107" w14:textId="77777777" w:rsidR="006E6B16" w:rsidRPr="005E33E4" w:rsidRDefault="006E6B16"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US" w:eastAsia="et-EE"/>
              </w:rPr>
            </w:pPr>
            <w:r w:rsidRPr="005E33E4">
              <w:rPr>
                <w:rFonts w:ascii="Calibri" w:eastAsia="Times New Roman" w:hAnsi="Calibri" w:cs="Calibri"/>
                <w:sz w:val="20"/>
                <w:szCs w:val="20"/>
                <w:lang w:val="en-US" w:eastAsia="et-EE"/>
              </w:rPr>
              <w:t>5%</w:t>
            </w:r>
          </w:p>
        </w:tc>
      </w:tr>
      <w:tr w:rsidR="005E33E4" w:rsidRPr="005E33E4" w14:paraId="6F6048D4" w14:textId="77777777" w:rsidTr="000C096F">
        <w:trPr>
          <w:cnfStyle w:val="000000100000" w:firstRow="0" w:lastRow="0" w:firstColumn="0" w:lastColumn="0" w:oddVBand="0" w:evenVBand="0" w:oddHBand="1" w:evenHBand="0" w:firstRowFirstColumn="0" w:firstRowLastColumn="0" w:lastRowFirstColumn="0" w:lastRowLastColumn="0"/>
          <w:trHeight w:val="218"/>
        </w:trPr>
        <w:tc>
          <w:tcPr>
            <w:cnfStyle w:val="001000000000" w:firstRow="0" w:lastRow="0" w:firstColumn="1" w:lastColumn="0" w:oddVBand="0" w:evenVBand="0" w:oddHBand="0" w:evenHBand="0" w:firstRowFirstColumn="0" w:firstRowLastColumn="0" w:lastRowFirstColumn="0" w:lastRowLastColumn="0"/>
            <w:tcW w:w="2019" w:type="dxa"/>
            <w:noWrap/>
            <w:hideMark/>
          </w:tcPr>
          <w:p w14:paraId="508671C4" w14:textId="77777777" w:rsidR="006E6B16" w:rsidRPr="005E33E4" w:rsidRDefault="006E6B16" w:rsidP="002E590D">
            <w:pPr>
              <w:rPr>
                <w:rFonts w:ascii="Calibri" w:eastAsia="Times New Roman" w:hAnsi="Calibri" w:cs="Calibri"/>
                <w:color w:val="auto"/>
                <w:sz w:val="20"/>
                <w:szCs w:val="20"/>
                <w:lang w:val="en-US" w:eastAsia="et-EE"/>
              </w:rPr>
            </w:pPr>
            <w:r w:rsidRPr="005E33E4">
              <w:rPr>
                <w:rFonts w:ascii="Calibri" w:eastAsia="Times New Roman" w:hAnsi="Calibri" w:cs="Calibri"/>
                <w:color w:val="auto"/>
                <w:sz w:val="20"/>
                <w:szCs w:val="20"/>
                <w:lang w:val="en-US" w:eastAsia="et-EE"/>
              </w:rPr>
              <w:t>Room rent or capitalization allowance</w:t>
            </w:r>
          </w:p>
        </w:tc>
        <w:tc>
          <w:tcPr>
            <w:tcW w:w="1998" w:type="dxa"/>
            <w:noWrap/>
            <w:hideMark/>
          </w:tcPr>
          <w:p w14:paraId="50C7527B" w14:textId="77777777" w:rsidR="006E6B16" w:rsidRPr="005E33E4" w:rsidRDefault="006E6B16" w:rsidP="002E59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et-EE"/>
              </w:rPr>
            </w:pPr>
            <w:r w:rsidRPr="005E33E4">
              <w:rPr>
                <w:rFonts w:ascii="Calibri" w:eastAsia="Times New Roman" w:hAnsi="Calibri" w:cs="Calibri"/>
                <w:sz w:val="20"/>
                <w:szCs w:val="20"/>
                <w:lang w:val="en-US" w:eastAsia="et-EE"/>
              </w:rPr>
              <w:t> </w:t>
            </w:r>
          </w:p>
        </w:tc>
        <w:tc>
          <w:tcPr>
            <w:tcW w:w="1681" w:type="dxa"/>
            <w:noWrap/>
            <w:hideMark/>
          </w:tcPr>
          <w:p w14:paraId="09B41034" w14:textId="77777777" w:rsidR="006E6B16" w:rsidRPr="005E33E4" w:rsidRDefault="006E6B16" w:rsidP="002E59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et-EE"/>
              </w:rPr>
            </w:pPr>
            <w:r w:rsidRPr="005E33E4">
              <w:rPr>
                <w:rFonts w:ascii="Calibri" w:eastAsia="Times New Roman" w:hAnsi="Calibri" w:cs="Calibri"/>
                <w:sz w:val="20"/>
                <w:szCs w:val="20"/>
                <w:lang w:val="en-US" w:eastAsia="et-EE"/>
              </w:rPr>
              <w:t> </w:t>
            </w:r>
          </w:p>
        </w:tc>
        <w:tc>
          <w:tcPr>
            <w:tcW w:w="1064" w:type="dxa"/>
            <w:noWrap/>
            <w:hideMark/>
          </w:tcPr>
          <w:p w14:paraId="5BDE545C" w14:textId="77777777" w:rsidR="006E6B16" w:rsidRPr="005E33E4" w:rsidRDefault="006E6B16"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et-EE"/>
              </w:rPr>
            </w:pPr>
            <w:r w:rsidRPr="005E33E4">
              <w:rPr>
                <w:rFonts w:ascii="Calibri" w:eastAsia="Times New Roman" w:hAnsi="Calibri" w:cs="Calibri"/>
                <w:sz w:val="20"/>
                <w:szCs w:val="20"/>
                <w:lang w:val="en-US" w:eastAsia="et-EE"/>
              </w:rPr>
              <w:t> </w:t>
            </w:r>
          </w:p>
        </w:tc>
        <w:tc>
          <w:tcPr>
            <w:tcW w:w="1492" w:type="dxa"/>
            <w:noWrap/>
            <w:hideMark/>
          </w:tcPr>
          <w:p w14:paraId="7B573379" w14:textId="77777777" w:rsidR="006E6B16" w:rsidRPr="005E33E4" w:rsidRDefault="006E6B16"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et-EE"/>
              </w:rPr>
            </w:pPr>
            <w:r w:rsidRPr="005E33E4">
              <w:rPr>
                <w:rFonts w:ascii="Calibri" w:eastAsia="Times New Roman" w:hAnsi="Calibri" w:cs="Calibri"/>
                <w:sz w:val="20"/>
                <w:szCs w:val="20"/>
                <w:lang w:val="en-US" w:eastAsia="et-EE"/>
              </w:rPr>
              <w:t> </w:t>
            </w:r>
          </w:p>
        </w:tc>
        <w:tc>
          <w:tcPr>
            <w:tcW w:w="901" w:type="dxa"/>
            <w:noWrap/>
            <w:hideMark/>
          </w:tcPr>
          <w:p w14:paraId="5B5E91EE" w14:textId="77777777" w:rsidR="006E6B16" w:rsidRPr="005E33E4" w:rsidRDefault="006E6B16"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et-EE"/>
              </w:rPr>
            </w:pPr>
            <w:r w:rsidRPr="005E33E4">
              <w:rPr>
                <w:rFonts w:ascii="Calibri" w:eastAsia="Times New Roman" w:hAnsi="Calibri" w:cs="Calibri"/>
                <w:sz w:val="20"/>
                <w:szCs w:val="20"/>
                <w:lang w:val="en-US" w:eastAsia="et-EE"/>
              </w:rPr>
              <w:t>9 360</w:t>
            </w:r>
          </w:p>
        </w:tc>
        <w:tc>
          <w:tcPr>
            <w:tcW w:w="842" w:type="dxa"/>
            <w:noWrap/>
            <w:hideMark/>
          </w:tcPr>
          <w:p w14:paraId="561143BB" w14:textId="77777777" w:rsidR="006E6B16" w:rsidRPr="005E33E4" w:rsidRDefault="006E6B16"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sz w:val="20"/>
                <w:szCs w:val="20"/>
                <w:lang w:val="en-US" w:eastAsia="et-EE"/>
              </w:rPr>
            </w:pPr>
            <w:r w:rsidRPr="005E33E4">
              <w:rPr>
                <w:rFonts w:ascii="Calibri" w:eastAsia="Times New Roman" w:hAnsi="Calibri" w:cs="Calibri"/>
                <w:sz w:val="20"/>
                <w:szCs w:val="20"/>
                <w:lang w:val="en-US" w:eastAsia="et-EE"/>
              </w:rPr>
              <w:t>8%</w:t>
            </w:r>
          </w:p>
        </w:tc>
      </w:tr>
      <w:tr w:rsidR="005E33E4" w:rsidRPr="005E33E4" w14:paraId="17235C62" w14:textId="77777777" w:rsidTr="000C096F">
        <w:trPr>
          <w:trHeight w:val="294"/>
        </w:trPr>
        <w:tc>
          <w:tcPr>
            <w:cnfStyle w:val="001000000000" w:firstRow="0" w:lastRow="0" w:firstColumn="1" w:lastColumn="0" w:oddVBand="0" w:evenVBand="0" w:oddHBand="0" w:evenHBand="0" w:firstRowFirstColumn="0" w:firstRowLastColumn="0" w:lastRowFirstColumn="0" w:lastRowLastColumn="0"/>
            <w:tcW w:w="2019" w:type="dxa"/>
            <w:noWrap/>
            <w:hideMark/>
          </w:tcPr>
          <w:p w14:paraId="5BD6DC6F" w14:textId="77777777" w:rsidR="006E6B16" w:rsidRPr="005E33E4" w:rsidRDefault="006E6B16" w:rsidP="002E590D">
            <w:pPr>
              <w:rPr>
                <w:rFonts w:ascii="Calibri" w:eastAsia="Times New Roman" w:hAnsi="Calibri" w:cs="Calibri"/>
                <w:color w:val="auto"/>
                <w:sz w:val="20"/>
                <w:szCs w:val="20"/>
                <w:lang w:val="en-US" w:eastAsia="et-EE"/>
              </w:rPr>
            </w:pPr>
            <w:r w:rsidRPr="005E33E4">
              <w:rPr>
                <w:rFonts w:ascii="Calibri" w:eastAsia="Times New Roman" w:hAnsi="Calibri" w:cs="Calibri"/>
                <w:color w:val="auto"/>
                <w:sz w:val="20"/>
                <w:szCs w:val="20"/>
                <w:lang w:val="en-US" w:eastAsia="et-EE"/>
              </w:rPr>
              <w:t>Total annual budget</w:t>
            </w:r>
          </w:p>
        </w:tc>
        <w:tc>
          <w:tcPr>
            <w:tcW w:w="1998" w:type="dxa"/>
            <w:noWrap/>
            <w:hideMark/>
          </w:tcPr>
          <w:p w14:paraId="5CD36C0F" w14:textId="77777777" w:rsidR="006E6B16" w:rsidRPr="005E33E4" w:rsidRDefault="006E6B16" w:rsidP="002E5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val="en-US" w:eastAsia="et-EE"/>
              </w:rPr>
            </w:pPr>
            <w:r w:rsidRPr="005E33E4">
              <w:rPr>
                <w:rFonts w:ascii="Calibri" w:eastAsia="Times New Roman" w:hAnsi="Calibri" w:cs="Calibri"/>
                <w:b/>
                <w:bCs/>
                <w:sz w:val="20"/>
                <w:szCs w:val="20"/>
                <w:lang w:val="en-US" w:eastAsia="et-EE"/>
              </w:rPr>
              <w:t> </w:t>
            </w:r>
          </w:p>
        </w:tc>
        <w:tc>
          <w:tcPr>
            <w:tcW w:w="1681" w:type="dxa"/>
            <w:noWrap/>
            <w:hideMark/>
          </w:tcPr>
          <w:p w14:paraId="35E55E35" w14:textId="77777777" w:rsidR="006E6B16" w:rsidRPr="005E33E4" w:rsidRDefault="006E6B16" w:rsidP="002E5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val="en-US" w:eastAsia="et-EE"/>
              </w:rPr>
            </w:pPr>
            <w:r w:rsidRPr="005E33E4">
              <w:rPr>
                <w:rFonts w:ascii="Calibri" w:eastAsia="Times New Roman" w:hAnsi="Calibri" w:cs="Calibri"/>
                <w:b/>
                <w:bCs/>
                <w:sz w:val="20"/>
                <w:szCs w:val="20"/>
                <w:lang w:val="en-US" w:eastAsia="et-EE"/>
              </w:rPr>
              <w:t> </w:t>
            </w:r>
          </w:p>
        </w:tc>
        <w:tc>
          <w:tcPr>
            <w:tcW w:w="1064" w:type="dxa"/>
            <w:noWrap/>
            <w:hideMark/>
          </w:tcPr>
          <w:p w14:paraId="3B5BDA2A" w14:textId="77777777" w:rsidR="006E6B16" w:rsidRPr="005E33E4" w:rsidRDefault="006E6B16"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val="en-US" w:eastAsia="et-EE"/>
              </w:rPr>
            </w:pPr>
            <w:r w:rsidRPr="005E33E4">
              <w:rPr>
                <w:rFonts w:ascii="Calibri" w:eastAsia="Times New Roman" w:hAnsi="Calibri" w:cs="Calibri"/>
                <w:b/>
                <w:bCs/>
                <w:sz w:val="20"/>
                <w:szCs w:val="20"/>
                <w:lang w:val="en-US" w:eastAsia="et-EE"/>
              </w:rPr>
              <w:t> </w:t>
            </w:r>
          </w:p>
        </w:tc>
        <w:tc>
          <w:tcPr>
            <w:tcW w:w="1492" w:type="dxa"/>
            <w:noWrap/>
            <w:hideMark/>
          </w:tcPr>
          <w:p w14:paraId="4DCD5EF7" w14:textId="77777777" w:rsidR="006E6B16" w:rsidRPr="005E33E4" w:rsidRDefault="006E6B16"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val="en-US" w:eastAsia="et-EE"/>
              </w:rPr>
            </w:pPr>
            <w:r w:rsidRPr="005E33E4">
              <w:rPr>
                <w:rFonts w:ascii="Calibri" w:eastAsia="Times New Roman" w:hAnsi="Calibri" w:cs="Calibri"/>
                <w:b/>
                <w:bCs/>
                <w:sz w:val="20"/>
                <w:szCs w:val="20"/>
                <w:lang w:val="en-US" w:eastAsia="et-EE"/>
              </w:rPr>
              <w:t> </w:t>
            </w:r>
          </w:p>
        </w:tc>
        <w:tc>
          <w:tcPr>
            <w:tcW w:w="901" w:type="dxa"/>
            <w:noWrap/>
            <w:hideMark/>
          </w:tcPr>
          <w:p w14:paraId="5AC0FE2C" w14:textId="77777777" w:rsidR="006E6B16" w:rsidRPr="005E33E4" w:rsidRDefault="006E6B16"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b/>
                <w:bCs/>
                <w:sz w:val="20"/>
                <w:szCs w:val="20"/>
                <w:lang w:val="en-US" w:eastAsia="et-EE"/>
              </w:rPr>
            </w:pPr>
            <w:r w:rsidRPr="005E33E4">
              <w:rPr>
                <w:rFonts w:ascii="Calibri" w:eastAsia="Times New Roman" w:hAnsi="Calibri" w:cs="Calibri"/>
                <w:b/>
                <w:bCs/>
                <w:sz w:val="20"/>
                <w:szCs w:val="20"/>
                <w:lang w:val="en-US" w:eastAsia="et-EE"/>
              </w:rPr>
              <w:t>110 633</w:t>
            </w:r>
          </w:p>
        </w:tc>
        <w:tc>
          <w:tcPr>
            <w:tcW w:w="842" w:type="dxa"/>
            <w:noWrap/>
            <w:hideMark/>
          </w:tcPr>
          <w:p w14:paraId="38E3D306" w14:textId="77777777" w:rsidR="006E6B16" w:rsidRPr="005E33E4" w:rsidRDefault="006E6B16" w:rsidP="002E5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0"/>
                <w:szCs w:val="20"/>
                <w:lang w:val="en-US" w:eastAsia="et-EE"/>
              </w:rPr>
            </w:pPr>
            <w:r w:rsidRPr="005E33E4">
              <w:rPr>
                <w:rFonts w:ascii="Calibri" w:eastAsia="Times New Roman" w:hAnsi="Calibri" w:cs="Calibri"/>
                <w:sz w:val="20"/>
                <w:szCs w:val="20"/>
                <w:lang w:val="en-US" w:eastAsia="et-EE"/>
              </w:rPr>
              <w:t> </w:t>
            </w:r>
          </w:p>
        </w:tc>
      </w:tr>
    </w:tbl>
    <w:p w14:paraId="5762CAAF" w14:textId="107B772F" w:rsidR="0010217A" w:rsidRPr="009730C4" w:rsidRDefault="0010217A" w:rsidP="002E590D">
      <w:pPr>
        <w:spacing w:after="0" w:line="240" w:lineRule="auto"/>
        <w:jc w:val="both"/>
        <w:rPr>
          <w:lang w:val="en-GB"/>
        </w:rPr>
      </w:pPr>
    </w:p>
    <w:p w14:paraId="6B981186" w14:textId="2AD8FDAD" w:rsidR="000C096F" w:rsidRPr="009730C4" w:rsidRDefault="000C096F" w:rsidP="002E590D">
      <w:pPr>
        <w:spacing w:after="0" w:line="240" w:lineRule="auto"/>
        <w:jc w:val="both"/>
        <w:rPr>
          <w:lang w:val="en-GB"/>
        </w:rPr>
      </w:pPr>
      <w:r w:rsidRPr="009730C4">
        <w:rPr>
          <w:b/>
          <w:bCs/>
          <w:lang w:val="en-GB"/>
        </w:rPr>
        <w:t>Table 13.</w:t>
      </w:r>
      <w:r w:rsidRPr="009730C4">
        <w:rPr>
          <w:lang w:val="en-GB"/>
        </w:rPr>
        <w:t xml:space="preserve"> Payment design</w:t>
      </w:r>
      <w:r w:rsidR="009730C4" w:rsidRPr="009730C4">
        <w:rPr>
          <w:lang w:val="en-GB"/>
        </w:rPr>
        <w:t xml:space="preserve"> for a group practice</w:t>
      </w:r>
    </w:p>
    <w:tbl>
      <w:tblPr>
        <w:tblStyle w:val="GridTable5Dark-Accent5"/>
        <w:tblW w:w="10022" w:type="dxa"/>
        <w:tblLook w:val="04A0" w:firstRow="1" w:lastRow="0" w:firstColumn="1" w:lastColumn="0" w:noHBand="0" w:noVBand="1"/>
      </w:tblPr>
      <w:tblGrid>
        <w:gridCol w:w="2157"/>
        <w:gridCol w:w="2136"/>
        <w:gridCol w:w="1846"/>
        <w:gridCol w:w="1119"/>
        <w:gridCol w:w="915"/>
        <w:gridCol w:w="963"/>
        <w:gridCol w:w="886"/>
      </w:tblGrid>
      <w:tr w:rsidR="00014DBD" w:rsidRPr="00395EDC" w14:paraId="5E391497" w14:textId="77777777" w:rsidTr="009730C4">
        <w:trPr>
          <w:cnfStyle w:val="100000000000" w:firstRow="1" w:lastRow="0" w:firstColumn="0" w:lastColumn="0" w:oddVBand="0" w:evenVBand="0" w:oddHBand="0" w:evenHBand="0" w:firstRowFirstColumn="0" w:firstRowLastColumn="0" w:lastRowFirstColumn="0" w:lastRowLastColumn="0"/>
          <w:trHeight w:val="683"/>
          <w:tblHeader/>
        </w:trPr>
        <w:tc>
          <w:tcPr>
            <w:cnfStyle w:val="001000000000" w:firstRow="0" w:lastRow="0" w:firstColumn="1" w:lastColumn="0" w:oddVBand="0" w:evenVBand="0" w:oddHBand="0" w:evenHBand="0" w:firstRowFirstColumn="0" w:firstRowLastColumn="0" w:lastRowFirstColumn="0" w:lastRowLastColumn="0"/>
            <w:tcW w:w="2157" w:type="dxa"/>
            <w:hideMark/>
          </w:tcPr>
          <w:p w14:paraId="3692A9B5" w14:textId="77777777" w:rsidR="00395EDC" w:rsidRPr="00014DBD" w:rsidRDefault="00395EDC" w:rsidP="002E590D">
            <w:pPr>
              <w:rPr>
                <w:rFonts w:ascii="Calibri" w:eastAsia="Times New Roman" w:hAnsi="Calibri" w:cs="Times New Roman"/>
                <w:color w:val="auto"/>
                <w:sz w:val="20"/>
                <w:szCs w:val="20"/>
                <w:lang w:eastAsia="et-EE"/>
              </w:rPr>
            </w:pPr>
            <w:r w:rsidRPr="00014DBD">
              <w:rPr>
                <w:rFonts w:ascii="Calibri" w:eastAsia="Times New Roman" w:hAnsi="Calibri" w:cs="Times New Roman"/>
                <w:color w:val="auto"/>
                <w:sz w:val="20"/>
                <w:szCs w:val="20"/>
                <w:lang w:eastAsia="et-EE"/>
              </w:rPr>
              <w:t>Baseline scenario</w:t>
            </w:r>
          </w:p>
        </w:tc>
        <w:tc>
          <w:tcPr>
            <w:tcW w:w="2136" w:type="dxa"/>
            <w:hideMark/>
          </w:tcPr>
          <w:p w14:paraId="33854711" w14:textId="77777777" w:rsidR="00395EDC" w:rsidRPr="00014DBD" w:rsidRDefault="00395EDC" w:rsidP="002E590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auto"/>
                <w:sz w:val="20"/>
                <w:szCs w:val="20"/>
                <w:lang w:eastAsia="et-EE"/>
              </w:rPr>
            </w:pPr>
            <w:r w:rsidRPr="00014DBD">
              <w:rPr>
                <w:rFonts w:ascii="Calibri" w:eastAsia="Times New Roman" w:hAnsi="Calibri" w:cs="Times New Roman"/>
                <w:color w:val="auto"/>
                <w:sz w:val="20"/>
                <w:szCs w:val="20"/>
                <w:lang w:eastAsia="et-EE"/>
              </w:rPr>
              <w:t>Sub-packages</w:t>
            </w:r>
          </w:p>
        </w:tc>
        <w:tc>
          <w:tcPr>
            <w:tcW w:w="1846" w:type="dxa"/>
            <w:hideMark/>
          </w:tcPr>
          <w:p w14:paraId="1B042780" w14:textId="02A026F8" w:rsidR="00395EDC" w:rsidRPr="00014DBD" w:rsidRDefault="00395EDC" w:rsidP="002E590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auto"/>
                <w:sz w:val="20"/>
                <w:szCs w:val="20"/>
                <w:lang w:eastAsia="et-EE"/>
              </w:rPr>
            </w:pPr>
            <w:r w:rsidRPr="00014DBD">
              <w:rPr>
                <w:rFonts w:ascii="Calibri" w:eastAsia="Times New Roman" w:hAnsi="Calibri" w:cs="Times New Roman"/>
                <w:color w:val="auto"/>
                <w:sz w:val="20"/>
                <w:szCs w:val="20"/>
                <w:lang w:eastAsia="et-EE"/>
              </w:rPr>
              <w:t>Average population per</w:t>
            </w:r>
            <w:r w:rsidR="006F228B" w:rsidRPr="00014DBD">
              <w:rPr>
                <w:rFonts w:ascii="Calibri" w:eastAsia="Times New Roman" w:hAnsi="Calibri" w:cs="Times New Roman"/>
                <w:color w:val="auto"/>
                <w:sz w:val="20"/>
                <w:szCs w:val="20"/>
                <w:lang w:eastAsia="et-EE"/>
              </w:rPr>
              <w:t xml:space="preserve"> </w:t>
            </w:r>
            <w:r w:rsidRPr="00014DBD">
              <w:rPr>
                <w:rFonts w:ascii="Calibri" w:eastAsia="Times New Roman" w:hAnsi="Calibri" w:cs="Times New Roman"/>
                <w:color w:val="auto"/>
                <w:sz w:val="20"/>
                <w:szCs w:val="20"/>
                <w:lang w:eastAsia="et-EE"/>
              </w:rPr>
              <w:t>provider</w:t>
            </w:r>
          </w:p>
        </w:tc>
        <w:tc>
          <w:tcPr>
            <w:tcW w:w="1119" w:type="dxa"/>
            <w:hideMark/>
          </w:tcPr>
          <w:p w14:paraId="096C288E" w14:textId="0C62DE5F" w:rsidR="00395EDC" w:rsidRPr="00014DBD" w:rsidRDefault="00395EDC" w:rsidP="002E590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auto"/>
                <w:sz w:val="20"/>
                <w:szCs w:val="20"/>
                <w:lang w:eastAsia="et-EE"/>
              </w:rPr>
            </w:pPr>
            <w:r w:rsidRPr="00014DBD">
              <w:rPr>
                <w:rFonts w:ascii="Calibri" w:eastAsia="Times New Roman" w:hAnsi="Calibri" w:cs="Times New Roman"/>
                <w:color w:val="auto"/>
                <w:sz w:val="20"/>
                <w:szCs w:val="20"/>
                <w:lang w:eastAsia="et-EE"/>
              </w:rPr>
              <w:t xml:space="preserve">Monthly cost </w:t>
            </w:r>
            <w:r w:rsidR="006F228B" w:rsidRPr="00014DBD">
              <w:rPr>
                <w:rFonts w:ascii="Calibri" w:eastAsia="Times New Roman" w:hAnsi="Calibri" w:cs="Times New Roman"/>
                <w:color w:val="auto"/>
                <w:sz w:val="20"/>
                <w:szCs w:val="20"/>
                <w:lang w:eastAsia="et-EE"/>
              </w:rPr>
              <w:t>per enrolled</w:t>
            </w:r>
          </w:p>
        </w:tc>
        <w:tc>
          <w:tcPr>
            <w:tcW w:w="915" w:type="dxa"/>
            <w:hideMark/>
          </w:tcPr>
          <w:p w14:paraId="155C74E7" w14:textId="77777777" w:rsidR="00395EDC" w:rsidRPr="00014DBD" w:rsidRDefault="00395EDC" w:rsidP="002E590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auto"/>
                <w:sz w:val="20"/>
                <w:szCs w:val="20"/>
                <w:lang w:eastAsia="et-EE"/>
              </w:rPr>
            </w:pPr>
            <w:r w:rsidRPr="00014DBD">
              <w:rPr>
                <w:rFonts w:ascii="Calibri" w:eastAsia="Times New Roman" w:hAnsi="Calibri" w:cs="Times New Roman"/>
                <w:color w:val="auto"/>
                <w:sz w:val="20"/>
                <w:szCs w:val="20"/>
                <w:lang w:eastAsia="et-EE"/>
              </w:rPr>
              <w:t>Unified monthly per capita cost</w:t>
            </w:r>
          </w:p>
        </w:tc>
        <w:tc>
          <w:tcPr>
            <w:tcW w:w="963" w:type="dxa"/>
            <w:hideMark/>
          </w:tcPr>
          <w:p w14:paraId="16FD86EE" w14:textId="6CE05F18" w:rsidR="00395EDC" w:rsidRPr="00014DBD" w:rsidRDefault="00395EDC" w:rsidP="002E590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auto"/>
                <w:sz w:val="20"/>
                <w:szCs w:val="20"/>
                <w:lang w:eastAsia="et-EE"/>
              </w:rPr>
            </w:pPr>
            <w:r w:rsidRPr="00014DBD">
              <w:rPr>
                <w:rFonts w:ascii="Calibri" w:eastAsia="Times New Roman" w:hAnsi="Calibri" w:cs="Times New Roman"/>
                <w:color w:val="auto"/>
                <w:sz w:val="20"/>
                <w:szCs w:val="20"/>
                <w:lang w:eastAsia="et-EE"/>
              </w:rPr>
              <w:t xml:space="preserve">Annual budget per </w:t>
            </w:r>
            <w:r w:rsidR="00EF18D6" w:rsidRPr="00014DBD">
              <w:rPr>
                <w:rFonts w:ascii="Calibri" w:eastAsia="Times New Roman" w:hAnsi="Calibri" w:cs="Times New Roman"/>
                <w:color w:val="auto"/>
                <w:sz w:val="20"/>
                <w:szCs w:val="20"/>
                <w:lang w:eastAsia="et-EE"/>
              </w:rPr>
              <w:t xml:space="preserve">5 </w:t>
            </w:r>
            <w:r w:rsidRPr="00014DBD">
              <w:rPr>
                <w:rFonts w:ascii="Calibri" w:eastAsia="Times New Roman" w:hAnsi="Calibri" w:cs="Times New Roman"/>
                <w:color w:val="auto"/>
                <w:sz w:val="20"/>
                <w:szCs w:val="20"/>
                <w:lang w:eastAsia="et-EE"/>
              </w:rPr>
              <w:t xml:space="preserve">FD and </w:t>
            </w:r>
            <w:r w:rsidR="00C73F6E" w:rsidRPr="00014DBD">
              <w:rPr>
                <w:rFonts w:ascii="Calibri" w:eastAsia="Times New Roman" w:hAnsi="Calibri" w:cs="Times New Roman"/>
                <w:color w:val="auto"/>
                <w:sz w:val="20"/>
                <w:szCs w:val="20"/>
                <w:lang w:eastAsia="et-EE"/>
              </w:rPr>
              <w:t>FN</w:t>
            </w:r>
          </w:p>
        </w:tc>
        <w:tc>
          <w:tcPr>
            <w:tcW w:w="886" w:type="dxa"/>
            <w:hideMark/>
          </w:tcPr>
          <w:p w14:paraId="172E171B" w14:textId="77777777" w:rsidR="00395EDC" w:rsidRPr="00014DBD" w:rsidRDefault="00395EDC" w:rsidP="002E590D">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Times New Roman"/>
                <w:b w:val="0"/>
                <w:bCs w:val="0"/>
                <w:color w:val="auto"/>
                <w:sz w:val="20"/>
                <w:szCs w:val="20"/>
                <w:lang w:eastAsia="et-EE"/>
              </w:rPr>
            </w:pPr>
            <w:r w:rsidRPr="00014DBD">
              <w:rPr>
                <w:rFonts w:ascii="Calibri" w:eastAsia="Times New Roman" w:hAnsi="Calibri" w:cs="Times New Roman"/>
                <w:color w:val="auto"/>
                <w:sz w:val="20"/>
                <w:szCs w:val="20"/>
                <w:lang w:eastAsia="et-EE"/>
              </w:rPr>
              <w:t>% of total annual budget</w:t>
            </w:r>
          </w:p>
        </w:tc>
      </w:tr>
      <w:tr w:rsidR="00AC6537" w:rsidRPr="00395EDC" w14:paraId="1CF18B93" w14:textId="77777777" w:rsidTr="009730C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157" w:type="dxa"/>
            <w:vMerge w:val="restart"/>
            <w:noWrap/>
            <w:hideMark/>
          </w:tcPr>
          <w:p w14:paraId="4ED7BE05" w14:textId="77777777" w:rsidR="00395EDC" w:rsidRPr="00395EDC" w:rsidRDefault="00395EDC" w:rsidP="002E590D">
            <w:pPr>
              <w:jc w:val="center"/>
              <w:rPr>
                <w:rFonts w:ascii="Calibri" w:eastAsia="Times New Roman" w:hAnsi="Calibri" w:cs="Times New Roman"/>
                <w:color w:val="auto"/>
                <w:sz w:val="20"/>
                <w:szCs w:val="20"/>
                <w:lang w:eastAsia="et-EE"/>
              </w:rPr>
            </w:pPr>
            <w:r w:rsidRPr="00395EDC">
              <w:rPr>
                <w:rFonts w:ascii="Calibri" w:eastAsia="Times New Roman" w:hAnsi="Calibri" w:cs="Times New Roman"/>
                <w:color w:val="auto"/>
                <w:sz w:val="20"/>
                <w:szCs w:val="20"/>
                <w:lang w:eastAsia="et-EE"/>
              </w:rPr>
              <w:t>Basic capitation</w:t>
            </w:r>
          </w:p>
        </w:tc>
        <w:tc>
          <w:tcPr>
            <w:tcW w:w="2136" w:type="dxa"/>
            <w:hideMark/>
          </w:tcPr>
          <w:p w14:paraId="45A1A580" w14:textId="77777777" w:rsidR="00395EDC" w:rsidRPr="00395EDC" w:rsidRDefault="00395EDC" w:rsidP="002E59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sidRPr="00395EDC">
              <w:rPr>
                <w:rFonts w:ascii="Calibri" w:eastAsia="Times New Roman" w:hAnsi="Calibri" w:cs="Times New Roman"/>
                <w:sz w:val="20"/>
                <w:szCs w:val="20"/>
                <w:lang w:eastAsia="et-EE"/>
              </w:rPr>
              <w:t>Minimum costs</w:t>
            </w:r>
          </w:p>
        </w:tc>
        <w:tc>
          <w:tcPr>
            <w:tcW w:w="1846" w:type="dxa"/>
            <w:vMerge w:val="restart"/>
            <w:noWrap/>
            <w:hideMark/>
          </w:tcPr>
          <w:p w14:paraId="6556F79D" w14:textId="77777777" w:rsidR="00395EDC" w:rsidRPr="00395EDC" w:rsidRDefault="00395EDC"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sidRPr="00395EDC">
              <w:rPr>
                <w:rFonts w:ascii="Calibri" w:eastAsia="Times New Roman" w:hAnsi="Calibri" w:cs="Times New Roman"/>
                <w:sz w:val="20"/>
                <w:szCs w:val="20"/>
                <w:lang w:eastAsia="et-EE"/>
              </w:rPr>
              <w:t>10 000</w:t>
            </w:r>
          </w:p>
        </w:tc>
        <w:tc>
          <w:tcPr>
            <w:tcW w:w="1119" w:type="dxa"/>
            <w:noWrap/>
            <w:hideMark/>
          </w:tcPr>
          <w:p w14:paraId="54663340" w14:textId="77777777" w:rsidR="00395EDC" w:rsidRPr="00395EDC" w:rsidRDefault="00395EDC"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sidRPr="00395EDC">
              <w:rPr>
                <w:rFonts w:ascii="Calibri" w:eastAsia="Times New Roman" w:hAnsi="Calibri" w:cs="Times New Roman"/>
                <w:sz w:val="20"/>
                <w:szCs w:val="20"/>
                <w:lang w:eastAsia="et-EE"/>
              </w:rPr>
              <w:t>2,21</w:t>
            </w:r>
          </w:p>
        </w:tc>
        <w:tc>
          <w:tcPr>
            <w:tcW w:w="915" w:type="dxa"/>
            <w:vMerge w:val="restart"/>
            <w:noWrap/>
            <w:hideMark/>
          </w:tcPr>
          <w:p w14:paraId="6FC909B2" w14:textId="77777777" w:rsidR="00395EDC" w:rsidRPr="00395EDC" w:rsidRDefault="00395EDC"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sidRPr="00395EDC">
              <w:rPr>
                <w:rFonts w:ascii="Calibri" w:eastAsia="Times New Roman" w:hAnsi="Calibri" w:cs="Times New Roman"/>
                <w:sz w:val="20"/>
                <w:szCs w:val="20"/>
                <w:lang w:eastAsia="et-EE"/>
              </w:rPr>
              <w:t>2,78</w:t>
            </w:r>
          </w:p>
        </w:tc>
        <w:tc>
          <w:tcPr>
            <w:tcW w:w="963" w:type="dxa"/>
            <w:vMerge w:val="restart"/>
            <w:noWrap/>
            <w:hideMark/>
          </w:tcPr>
          <w:p w14:paraId="0E85DDA4" w14:textId="77777777" w:rsidR="00395EDC" w:rsidRPr="00395EDC" w:rsidRDefault="00395EDC"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sidRPr="00395EDC">
              <w:rPr>
                <w:rFonts w:ascii="Calibri" w:eastAsia="Times New Roman" w:hAnsi="Calibri" w:cs="Times New Roman"/>
                <w:sz w:val="20"/>
                <w:szCs w:val="20"/>
                <w:lang w:eastAsia="et-EE"/>
              </w:rPr>
              <w:t>333 241</w:t>
            </w:r>
          </w:p>
        </w:tc>
        <w:tc>
          <w:tcPr>
            <w:tcW w:w="886" w:type="dxa"/>
            <w:noWrap/>
            <w:hideMark/>
          </w:tcPr>
          <w:p w14:paraId="40948650" w14:textId="77777777" w:rsidR="00395EDC" w:rsidRPr="00395EDC" w:rsidRDefault="00395EDC"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sidRPr="00395EDC">
              <w:rPr>
                <w:rFonts w:ascii="Calibri" w:eastAsia="Times New Roman" w:hAnsi="Calibri" w:cs="Times New Roman"/>
                <w:sz w:val="20"/>
                <w:szCs w:val="20"/>
                <w:lang w:eastAsia="et-EE"/>
              </w:rPr>
              <w:t>45%</w:t>
            </w:r>
          </w:p>
        </w:tc>
      </w:tr>
      <w:tr w:rsidR="00AC6537" w:rsidRPr="00395EDC" w14:paraId="0EC0156A" w14:textId="77777777" w:rsidTr="009730C4">
        <w:trPr>
          <w:trHeight w:val="170"/>
        </w:trPr>
        <w:tc>
          <w:tcPr>
            <w:cnfStyle w:val="001000000000" w:firstRow="0" w:lastRow="0" w:firstColumn="1" w:lastColumn="0" w:oddVBand="0" w:evenVBand="0" w:oddHBand="0" w:evenHBand="0" w:firstRowFirstColumn="0" w:firstRowLastColumn="0" w:lastRowFirstColumn="0" w:lastRowLastColumn="0"/>
            <w:tcW w:w="2157" w:type="dxa"/>
            <w:vMerge/>
            <w:hideMark/>
          </w:tcPr>
          <w:p w14:paraId="79843814" w14:textId="77777777" w:rsidR="00395EDC" w:rsidRPr="00395EDC" w:rsidRDefault="00395EDC" w:rsidP="002E590D">
            <w:pPr>
              <w:rPr>
                <w:rFonts w:ascii="Calibri" w:eastAsia="Times New Roman" w:hAnsi="Calibri" w:cs="Times New Roman"/>
                <w:color w:val="auto"/>
                <w:sz w:val="20"/>
                <w:szCs w:val="20"/>
                <w:lang w:eastAsia="et-EE"/>
              </w:rPr>
            </w:pPr>
          </w:p>
        </w:tc>
        <w:tc>
          <w:tcPr>
            <w:tcW w:w="2136" w:type="dxa"/>
            <w:hideMark/>
          </w:tcPr>
          <w:p w14:paraId="60684183" w14:textId="77777777" w:rsidR="00395EDC" w:rsidRPr="00395EDC" w:rsidRDefault="00395EDC" w:rsidP="002E5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t-EE"/>
              </w:rPr>
            </w:pPr>
            <w:r w:rsidRPr="00395EDC">
              <w:rPr>
                <w:rFonts w:ascii="Calibri" w:eastAsia="Times New Roman" w:hAnsi="Calibri" w:cs="Times New Roman"/>
                <w:sz w:val="20"/>
                <w:szCs w:val="20"/>
                <w:lang w:eastAsia="et-EE"/>
              </w:rPr>
              <w:t>Laboratory tests</w:t>
            </w:r>
          </w:p>
        </w:tc>
        <w:tc>
          <w:tcPr>
            <w:tcW w:w="1846" w:type="dxa"/>
            <w:vMerge/>
            <w:hideMark/>
          </w:tcPr>
          <w:p w14:paraId="1AA62E4F" w14:textId="77777777" w:rsidR="00395EDC" w:rsidRPr="00395EDC" w:rsidRDefault="00395EDC" w:rsidP="002E5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t-EE"/>
              </w:rPr>
            </w:pPr>
          </w:p>
        </w:tc>
        <w:tc>
          <w:tcPr>
            <w:tcW w:w="1119" w:type="dxa"/>
            <w:noWrap/>
            <w:hideMark/>
          </w:tcPr>
          <w:p w14:paraId="744B5FDE" w14:textId="77777777" w:rsidR="00395EDC" w:rsidRPr="00395EDC" w:rsidRDefault="00395EDC"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t-EE"/>
              </w:rPr>
            </w:pPr>
            <w:r w:rsidRPr="00395EDC">
              <w:rPr>
                <w:rFonts w:ascii="Calibri" w:eastAsia="Times New Roman" w:hAnsi="Calibri" w:cs="Times New Roman"/>
                <w:sz w:val="20"/>
                <w:szCs w:val="20"/>
                <w:lang w:eastAsia="et-EE"/>
              </w:rPr>
              <w:t>0,57</w:t>
            </w:r>
          </w:p>
        </w:tc>
        <w:tc>
          <w:tcPr>
            <w:tcW w:w="915" w:type="dxa"/>
            <w:vMerge/>
            <w:hideMark/>
          </w:tcPr>
          <w:p w14:paraId="0AA9B951" w14:textId="77777777" w:rsidR="00395EDC" w:rsidRPr="00395EDC" w:rsidRDefault="00395EDC" w:rsidP="002E5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t-EE"/>
              </w:rPr>
            </w:pPr>
          </w:p>
        </w:tc>
        <w:tc>
          <w:tcPr>
            <w:tcW w:w="963" w:type="dxa"/>
            <w:vMerge/>
            <w:hideMark/>
          </w:tcPr>
          <w:p w14:paraId="2C372108" w14:textId="77777777" w:rsidR="00395EDC" w:rsidRPr="00395EDC" w:rsidRDefault="00395EDC" w:rsidP="002E5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t-EE"/>
              </w:rPr>
            </w:pPr>
          </w:p>
        </w:tc>
        <w:tc>
          <w:tcPr>
            <w:tcW w:w="886" w:type="dxa"/>
            <w:noWrap/>
            <w:hideMark/>
          </w:tcPr>
          <w:p w14:paraId="59FB0A1E" w14:textId="77777777" w:rsidR="00395EDC" w:rsidRPr="00395EDC" w:rsidRDefault="00395EDC"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t-EE"/>
              </w:rPr>
            </w:pPr>
            <w:r w:rsidRPr="00395EDC">
              <w:rPr>
                <w:rFonts w:ascii="Calibri" w:eastAsia="Times New Roman" w:hAnsi="Calibri" w:cs="Times New Roman"/>
                <w:sz w:val="20"/>
                <w:szCs w:val="20"/>
                <w:lang w:eastAsia="et-EE"/>
              </w:rPr>
              <w:t>3%</w:t>
            </w:r>
          </w:p>
        </w:tc>
      </w:tr>
      <w:tr w:rsidR="00AC6537" w:rsidRPr="00395EDC" w14:paraId="68A1C038" w14:textId="77777777" w:rsidTr="009730C4">
        <w:trPr>
          <w:cnfStyle w:val="000000100000" w:firstRow="0" w:lastRow="0" w:firstColumn="0" w:lastColumn="0" w:oddVBand="0" w:evenVBand="0" w:oddHBand="1"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2157" w:type="dxa"/>
            <w:vMerge w:val="restart"/>
            <w:noWrap/>
            <w:hideMark/>
          </w:tcPr>
          <w:p w14:paraId="7A02484A" w14:textId="77777777" w:rsidR="00395EDC" w:rsidRPr="00395EDC" w:rsidRDefault="00395EDC" w:rsidP="002E590D">
            <w:pPr>
              <w:jc w:val="center"/>
              <w:rPr>
                <w:rFonts w:ascii="Calibri" w:eastAsia="Times New Roman" w:hAnsi="Calibri" w:cs="Times New Roman"/>
                <w:color w:val="auto"/>
                <w:sz w:val="20"/>
                <w:szCs w:val="20"/>
                <w:lang w:eastAsia="et-EE"/>
              </w:rPr>
            </w:pPr>
            <w:r w:rsidRPr="00395EDC">
              <w:rPr>
                <w:rFonts w:ascii="Calibri" w:eastAsia="Times New Roman" w:hAnsi="Calibri" w:cs="Times New Roman"/>
                <w:color w:val="auto"/>
                <w:sz w:val="20"/>
                <w:szCs w:val="20"/>
                <w:lang w:eastAsia="et-EE"/>
              </w:rPr>
              <w:t>Priority packages</w:t>
            </w:r>
          </w:p>
        </w:tc>
        <w:tc>
          <w:tcPr>
            <w:tcW w:w="2136" w:type="dxa"/>
            <w:hideMark/>
          </w:tcPr>
          <w:p w14:paraId="449C3558" w14:textId="77777777" w:rsidR="00395EDC" w:rsidRPr="00395EDC" w:rsidRDefault="00395EDC" w:rsidP="002E59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sidRPr="00395EDC">
              <w:rPr>
                <w:rFonts w:ascii="Calibri" w:eastAsia="Times New Roman" w:hAnsi="Calibri" w:cs="Times New Roman"/>
                <w:sz w:val="20"/>
                <w:szCs w:val="20"/>
                <w:lang w:eastAsia="et-EE"/>
              </w:rPr>
              <w:t>NCD package (asthma, diabetes and hypertension)</w:t>
            </w:r>
          </w:p>
        </w:tc>
        <w:tc>
          <w:tcPr>
            <w:tcW w:w="1846" w:type="dxa"/>
            <w:noWrap/>
            <w:hideMark/>
          </w:tcPr>
          <w:p w14:paraId="37B7518D" w14:textId="77777777" w:rsidR="00395EDC" w:rsidRPr="00395EDC" w:rsidRDefault="00395EDC"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sidRPr="00395EDC">
              <w:rPr>
                <w:rFonts w:ascii="Calibri" w:eastAsia="Times New Roman" w:hAnsi="Calibri" w:cs="Times New Roman"/>
                <w:sz w:val="20"/>
                <w:szCs w:val="20"/>
                <w:lang w:eastAsia="et-EE"/>
              </w:rPr>
              <w:t>4 306</w:t>
            </w:r>
          </w:p>
        </w:tc>
        <w:tc>
          <w:tcPr>
            <w:tcW w:w="1119" w:type="dxa"/>
            <w:noWrap/>
            <w:hideMark/>
          </w:tcPr>
          <w:p w14:paraId="0EC06D3C" w14:textId="77777777" w:rsidR="00395EDC" w:rsidRPr="00395EDC" w:rsidRDefault="00395EDC"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sidRPr="00395EDC">
              <w:rPr>
                <w:rFonts w:ascii="Calibri" w:eastAsia="Times New Roman" w:hAnsi="Calibri" w:cs="Times New Roman"/>
                <w:sz w:val="20"/>
                <w:szCs w:val="20"/>
                <w:lang w:eastAsia="et-EE"/>
              </w:rPr>
              <w:t> </w:t>
            </w:r>
          </w:p>
        </w:tc>
        <w:tc>
          <w:tcPr>
            <w:tcW w:w="915" w:type="dxa"/>
            <w:noWrap/>
            <w:hideMark/>
          </w:tcPr>
          <w:p w14:paraId="072B5691" w14:textId="77777777" w:rsidR="00395EDC" w:rsidRPr="00395EDC" w:rsidRDefault="00395EDC"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sidRPr="00395EDC">
              <w:rPr>
                <w:rFonts w:ascii="Calibri" w:eastAsia="Times New Roman" w:hAnsi="Calibri" w:cs="Times New Roman"/>
                <w:sz w:val="20"/>
                <w:szCs w:val="20"/>
                <w:lang w:eastAsia="et-EE"/>
              </w:rPr>
              <w:t>4,79</w:t>
            </w:r>
          </w:p>
        </w:tc>
        <w:tc>
          <w:tcPr>
            <w:tcW w:w="963" w:type="dxa"/>
            <w:noWrap/>
            <w:hideMark/>
          </w:tcPr>
          <w:p w14:paraId="24A49BE5" w14:textId="77777777" w:rsidR="00395EDC" w:rsidRPr="00395EDC" w:rsidRDefault="00395EDC"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sidRPr="00395EDC">
              <w:rPr>
                <w:rFonts w:ascii="Calibri" w:eastAsia="Times New Roman" w:hAnsi="Calibri" w:cs="Times New Roman"/>
                <w:sz w:val="20"/>
                <w:szCs w:val="20"/>
                <w:lang w:eastAsia="et-EE"/>
              </w:rPr>
              <w:t>173 351</w:t>
            </w:r>
          </w:p>
        </w:tc>
        <w:tc>
          <w:tcPr>
            <w:tcW w:w="886" w:type="dxa"/>
            <w:noWrap/>
            <w:hideMark/>
          </w:tcPr>
          <w:p w14:paraId="59FD61E7" w14:textId="77777777" w:rsidR="00395EDC" w:rsidRPr="00395EDC" w:rsidRDefault="00395EDC"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sidRPr="00395EDC">
              <w:rPr>
                <w:rFonts w:ascii="Calibri" w:eastAsia="Times New Roman" w:hAnsi="Calibri" w:cs="Times New Roman"/>
                <w:sz w:val="20"/>
                <w:szCs w:val="20"/>
                <w:lang w:eastAsia="et-EE"/>
              </w:rPr>
              <w:t>29%</w:t>
            </w:r>
          </w:p>
        </w:tc>
      </w:tr>
      <w:tr w:rsidR="00AC6537" w:rsidRPr="00395EDC" w14:paraId="17D950DF" w14:textId="77777777" w:rsidTr="009730C4">
        <w:trPr>
          <w:trHeight w:val="341"/>
        </w:trPr>
        <w:tc>
          <w:tcPr>
            <w:cnfStyle w:val="001000000000" w:firstRow="0" w:lastRow="0" w:firstColumn="1" w:lastColumn="0" w:oddVBand="0" w:evenVBand="0" w:oddHBand="0" w:evenHBand="0" w:firstRowFirstColumn="0" w:firstRowLastColumn="0" w:lastRowFirstColumn="0" w:lastRowLastColumn="0"/>
            <w:tcW w:w="2157" w:type="dxa"/>
            <w:vMerge/>
            <w:hideMark/>
          </w:tcPr>
          <w:p w14:paraId="2058145D" w14:textId="77777777" w:rsidR="00395EDC" w:rsidRPr="00395EDC" w:rsidRDefault="00395EDC" w:rsidP="002E590D">
            <w:pPr>
              <w:rPr>
                <w:rFonts w:ascii="Calibri" w:eastAsia="Times New Roman" w:hAnsi="Calibri" w:cs="Times New Roman"/>
                <w:color w:val="auto"/>
                <w:sz w:val="20"/>
                <w:szCs w:val="20"/>
                <w:lang w:eastAsia="et-EE"/>
              </w:rPr>
            </w:pPr>
          </w:p>
        </w:tc>
        <w:tc>
          <w:tcPr>
            <w:tcW w:w="2136" w:type="dxa"/>
            <w:hideMark/>
          </w:tcPr>
          <w:p w14:paraId="6E11FC77" w14:textId="77777777" w:rsidR="00395EDC" w:rsidRPr="00395EDC" w:rsidRDefault="00395EDC" w:rsidP="002E5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t-EE"/>
              </w:rPr>
            </w:pPr>
            <w:r w:rsidRPr="00395EDC">
              <w:rPr>
                <w:rFonts w:ascii="Calibri" w:eastAsia="Times New Roman" w:hAnsi="Calibri" w:cs="Times New Roman"/>
                <w:sz w:val="20"/>
                <w:szCs w:val="20"/>
                <w:lang w:eastAsia="et-EE"/>
              </w:rPr>
              <w:t>Child health (0-5) package</w:t>
            </w:r>
          </w:p>
        </w:tc>
        <w:tc>
          <w:tcPr>
            <w:tcW w:w="1846" w:type="dxa"/>
            <w:noWrap/>
            <w:hideMark/>
          </w:tcPr>
          <w:p w14:paraId="430F426A" w14:textId="77777777" w:rsidR="00395EDC" w:rsidRPr="00395EDC" w:rsidRDefault="00395EDC"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t-EE"/>
              </w:rPr>
            </w:pPr>
            <w:r w:rsidRPr="00395EDC">
              <w:rPr>
                <w:rFonts w:ascii="Calibri" w:eastAsia="Times New Roman" w:hAnsi="Calibri" w:cs="Times New Roman"/>
                <w:sz w:val="20"/>
                <w:szCs w:val="20"/>
                <w:lang w:eastAsia="et-EE"/>
              </w:rPr>
              <w:t>734</w:t>
            </w:r>
          </w:p>
        </w:tc>
        <w:tc>
          <w:tcPr>
            <w:tcW w:w="1119" w:type="dxa"/>
            <w:noWrap/>
            <w:hideMark/>
          </w:tcPr>
          <w:p w14:paraId="3B73A69D" w14:textId="77777777" w:rsidR="00395EDC" w:rsidRPr="00395EDC" w:rsidRDefault="00395EDC"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t-EE"/>
              </w:rPr>
            </w:pPr>
            <w:r w:rsidRPr="00395EDC">
              <w:rPr>
                <w:rFonts w:ascii="Calibri" w:eastAsia="Times New Roman" w:hAnsi="Calibri" w:cs="Times New Roman"/>
                <w:sz w:val="20"/>
                <w:szCs w:val="20"/>
                <w:lang w:eastAsia="et-EE"/>
              </w:rPr>
              <w:t> </w:t>
            </w:r>
          </w:p>
        </w:tc>
        <w:tc>
          <w:tcPr>
            <w:tcW w:w="915" w:type="dxa"/>
            <w:noWrap/>
            <w:hideMark/>
          </w:tcPr>
          <w:p w14:paraId="5ECBA129" w14:textId="77777777" w:rsidR="00395EDC" w:rsidRPr="00395EDC" w:rsidRDefault="00395EDC"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t-EE"/>
              </w:rPr>
            </w:pPr>
            <w:r w:rsidRPr="00395EDC">
              <w:rPr>
                <w:rFonts w:ascii="Calibri" w:eastAsia="Times New Roman" w:hAnsi="Calibri" w:cs="Times New Roman"/>
                <w:sz w:val="20"/>
                <w:szCs w:val="20"/>
                <w:lang w:eastAsia="et-EE"/>
              </w:rPr>
              <w:t>2,38</w:t>
            </w:r>
          </w:p>
        </w:tc>
        <w:tc>
          <w:tcPr>
            <w:tcW w:w="963" w:type="dxa"/>
            <w:noWrap/>
            <w:hideMark/>
          </w:tcPr>
          <w:p w14:paraId="44F290B7" w14:textId="77777777" w:rsidR="00395EDC" w:rsidRPr="00395EDC" w:rsidRDefault="00395EDC"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t-EE"/>
              </w:rPr>
            </w:pPr>
            <w:r w:rsidRPr="00395EDC">
              <w:rPr>
                <w:rFonts w:ascii="Calibri" w:eastAsia="Times New Roman" w:hAnsi="Calibri" w:cs="Times New Roman"/>
                <w:sz w:val="20"/>
                <w:szCs w:val="20"/>
                <w:lang w:eastAsia="et-EE"/>
              </w:rPr>
              <w:t>19 910</w:t>
            </w:r>
          </w:p>
        </w:tc>
        <w:tc>
          <w:tcPr>
            <w:tcW w:w="886" w:type="dxa"/>
            <w:noWrap/>
            <w:hideMark/>
          </w:tcPr>
          <w:p w14:paraId="28A688C2" w14:textId="77777777" w:rsidR="00395EDC" w:rsidRPr="00395EDC" w:rsidRDefault="00395EDC"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t-EE"/>
              </w:rPr>
            </w:pPr>
            <w:r w:rsidRPr="00395EDC">
              <w:rPr>
                <w:rFonts w:ascii="Calibri" w:eastAsia="Times New Roman" w:hAnsi="Calibri" w:cs="Times New Roman"/>
                <w:sz w:val="20"/>
                <w:szCs w:val="20"/>
                <w:lang w:eastAsia="et-EE"/>
              </w:rPr>
              <w:t>3%</w:t>
            </w:r>
          </w:p>
        </w:tc>
      </w:tr>
      <w:tr w:rsidR="00AC6537" w:rsidRPr="00395EDC" w14:paraId="0B54D8AB" w14:textId="77777777" w:rsidTr="009730C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2157" w:type="dxa"/>
            <w:noWrap/>
            <w:hideMark/>
          </w:tcPr>
          <w:p w14:paraId="07003F0D" w14:textId="77777777" w:rsidR="00395EDC" w:rsidRPr="00395EDC" w:rsidRDefault="00395EDC" w:rsidP="002E590D">
            <w:pPr>
              <w:rPr>
                <w:rFonts w:ascii="Calibri" w:eastAsia="Times New Roman" w:hAnsi="Calibri" w:cs="Times New Roman"/>
                <w:color w:val="auto"/>
                <w:sz w:val="20"/>
                <w:szCs w:val="20"/>
                <w:lang w:eastAsia="et-EE"/>
              </w:rPr>
            </w:pPr>
            <w:r w:rsidRPr="00395EDC">
              <w:rPr>
                <w:rFonts w:ascii="Calibri" w:eastAsia="Times New Roman" w:hAnsi="Calibri" w:cs="Times New Roman"/>
                <w:color w:val="auto"/>
                <w:sz w:val="20"/>
                <w:szCs w:val="20"/>
                <w:lang w:eastAsia="et-EE"/>
              </w:rPr>
              <w:t>Room rent or capitalization allowance</w:t>
            </w:r>
          </w:p>
        </w:tc>
        <w:tc>
          <w:tcPr>
            <w:tcW w:w="2136" w:type="dxa"/>
            <w:noWrap/>
            <w:hideMark/>
          </w:tcPr>
          <w:p w14:paraId="2F7F8681" w14:textId="77777777" w:rsidR="00395EDC" w:rsidRPr="00395EDC" w:rsidRDefault="00395EDC" w:rsidP="002E59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sidRPr="00395EDC">
              <w:rPr>
                <w:rFonts w:ascii="Calibri" w:eastAsia="Times New Roman" w:hAnsi="Calibri" w:cs="Times New Roman"/>
                <w:sz w:val="20"/>
                <w:szCs w:val="20"/>
                <w:lang w:eastAsia="et-EE"/>
              </w:rPr>
              <w:t> </w:t>
            </w:r>
          </w:p>
        </w:tc>
        <w:tc>
          <w:tcPr>
            <w:tcW w:w="1846" w:type="dxa"/>
            <w:noWrap/>
            <w:hideMark/>
          </w:tcPr>
          <w:p w14:paraId="4A57BFDB" w14:textId="77777777" w:rsidR="00395EDC" w:rsidRPr="00395EDC" w:rsidRDefault="00395EDC" w:rsidP="002E590D">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sidRPr="00395EDC">
              <w:rPr>
                <w:rFonts w:ascii="Calibri" w:eastAsia="Times New Roman" w:hAnsi="Calibri" w:cs="Times New Roman"/>
                <w:sz w:val="20"/>
                <w:szCs w:val="20"/>
                <w:lang w:eastAsia="et-EE"/>
              </w:rPr>
              <w:t> </w:t>
            </w:r>
          </w:p>
        </w:tc>
        <w:tc>
          <w:tcPr>
            <w:tcW w:w="1119" w:type="dxa"/>
            <w:noWrap/>
            <w:hideMark/>
          </w:tcPr>
          <w:p w14:paraId="236808DB" w14:textId="77777777" w:rsidR="00395EDC" w:rsidRPr="00395EDC" w:rsidRDefault="00395EDC"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sidRPr="00395EDC">
              <w:rPr>
                <w:rFonts w:ascii="Calibri" w:eastAsia="Times New Roman" w:hAnsi="Calibri" w:cs="Times New Roman"/>
                <w:sz w:val="20"/>
                <w:szCs w:val="20"/>
                <w:lang w:eastAsia="et-EE"/>
              </w:rPr>
              <w:t> </w:t>
            </w:r>
          </w:p>
        </w:tc>
        <w:tc>
          <w:tcPr>
            <w:tcW w:w="915" w:type="dxa"/>
            <w:noWrap/>
            <w:hideMark/>
          </w:tcPr>
          <w:p w14:paraId="69287A4B" w14:textId="77777777" w:rsidR="00395EDC" w:rsidRPr="00395EDC" w:rsidRDefault="00395EDC"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sidRPr="00395EDC">
              <w:rPr>
                <w:rFonts w:ascii="Calibri" w:eastAsia="Times New Roman" w:hAnsi="Calibri" w:cs="Times New Roman"/>
                <w:sz w:val="20"/>
                <w:szCs w:val="20"/>
                <w:lang w:eastAsia="et-EE"/>
              </w:rPr>
              <w:t> </w:t>
            </w:r>
          </w:p>
        </w:tc>
        <w:tc>
          <w:tcPr>
            <w:tcW w:w="963" w:type="dxa"/>
            <w:noWrap/>
            <w:hideMark/>
          </w:tcPr>
          <w:p w14:paraId="50E88D0D" w14:textId="77777777" w:rsidR="00395EDC" w:rsidRPr="00395EDC" w:rsidRDefault="00395EDC"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sidRPr="00395EDC">
              <w:rPr>
                <w:rFonts w:ascii="Calibri" w:eastAsia="Times New Roman" w:hAnsi="Calibri" w:cs="Times New Roman"/>
                <w:sz w:val="20"/>
                <w:szCs w:val="20"/>
                <w:lang w:eastAsia="et-EE"/>
              </w:rPr>
              <w:t>67 200</w:t>
            </w:r>
          </w:p>
        </w:tc>
        <w:tc>
          <w:tcPr>
            <w:tcW w:w="886" w:type="dxa"/>
            <w:noWrap/>
            <w:hideMark/>
          </w:tcPr>
          <w:p w14:paraId="04780497" w14:textId="77777777" w:rsidR="00395EDC" w:rsidRPr="00395EDC" w:rsidRDefault="00395EDC" w:rsidP="002E590D">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imes New Roman"/>
                <w:sz w:val="20"/>
                <w:szCs w:val="20"/>
                <w:lang w:eastAsia="et-EE"/>
              </w:rPr>
            </w:pPr>
            <w:r w:rsidRPr="00395EDC">
              <w:rPr>
                <w:rFonts w:ascii="Calibri" w:eastAsia="Times New Roman" w:hAnsi="Calibri" w:cs="Times New Roman"/>
                <w:sz w:val="20"/>
                <w:szCs w:val="20"/>
                <w:lang w:eastAsia="et-EE"/>
              </w:rPr>
              <w:t>11%</w:t>
            </w:r>
          </w:p>
        </w:tc>
      </w:tr>
      <w:tr w:rsidR="00AC6537" w:rsidRPr="00395EDC" w14:paraId="470D29CF" w14:textId="77777777" w:rsidTr="009730C4">
        <w:trPr>
          <w:trHeight w:val="229"/>
        </w:trPr>
        <w:tc>
          <w:tcPr>
            <w:cnfStyle w:val="001000000000" w:firstRow="0" w:lastRow="0" w:firstColumn="1" w:lastColumn="0" w:oddVBand="0" w:evenVBand="0" w:oddHBand="0" w:evenHBand="0" w:firstRowFirstColumn="0" w:firstRowLastColumn="0" w:lastRowFirstColumn="0" w:lastRowLastColumn="0"/>
            <w:tcW w:w="2157" w:type="dxa"/>
            <w:noWrap/>
            <w:hideMark/>
          </w:tcPr>
          <w:p w14:paraId="5108DA5B" w14:textId="77777777" w:rsidR="00395EDC" w:rsidRPr="00395EDC" w:rsidRDefault="00395EDC" w:rsidP="002E590D">
            <w:pPr>
              <w:rPr>
                <w:rFonts w:ascii="Calibri" w:eastAsia="Times New Roman" w:hAnsi="Calibri" w:cs="Times New Roman"/>
                <w:color w:val="auto"/>
                <w:sz w:val="20"/>
                <w:szCs w:val="20"/>
                <w:lang w:eastAsia="et-EE"/>
              </w:rPr>
            </w:pPr>
            <w:r w:rsidRPr="00395EDC">
              <w:rPr>
                <w:rFonts w:ascii="Calibri" w:eastAsia="Times New Roman" w:hAnsi="Calibri" w:cs="Times New Roman"/>
                <w:color w:val="auto"/>
                <w:sz w:val="20"/>
                <w:szCs w:val="20"/>
                <w:lang w:eastAsia="et-EE"/>
              </w:rPr>
              <w:t>Total annual budget</w:t>
            </w:r>
          </w:p>
        </w:tc>
        <w:tc>
          <w:tcPr>
            <w:tcW w:w="2136" w:type="dxa"/>
            <w:noWrap/>
            <w:hideMark/>
          </w:tcPr>
          <w:p w14:paraId="5BADC4C6" w14:textId="77777777" w:rsidR="00395EDC" w:rsidRPr="00395EDC" w:rsidRDefault="00395EDC" w:rsidP="002E5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eastAsia="et-EE"/>
              </w:rPr>
            </w:pPr>
            <w:r w:rsidRPr="00395EDC">
              <w:rPr>
                <w:rFonts w:ascii="Calibri" w:eastAsia="Times New Roman" w:hAnsi="Calibri" w:cs="Times New Roman"/>
                <w:b/>
                <w:bCs/>
                <w:sz w:val="20"/>
                <w:szCs w:val="20"/>
                <w:lang w:eastAsia="et-EE"/>
              </w:rPr>
              <w:t> </w:t>
            </w:r>
          </w:p>
        </w:tc>
        <w:tc>
          <w:tcPr>
            <w:tcW w:w="1846" w:type="dxa"/>
            <w:noWrap/>
            <w:hideMark/>
          </w:tcPr>
          <w:p w14:paraId="3462D977" w14:textId="77777777" w:rsidR="00395EDC" w:rsidRPr="00395EDC" w:rsidRDefault="00395EDC" w:rsidP="002E5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eastAsia="et-EE"/>
              </w:rPr>
            </w:pPr>
            <w:r w:rsidRPr="00395EDC">
              <w:rPr>
                <w:rFonts w:ascii="Calibri" w:eastAsia="Times New Roman" w:hAnsi="Calibri" w:cs="Times New Roman"/>
                <w:b/>
                <w:bCs/>
                <w:sz w:val="20"/>
                <w:szCs w:val="20"/>
                <w:lang w:eastAsia="et-EE"/>
              </w:rPr>
              <w:t> </w:t>
            </w:r>
          </w:p>
        </w:tc>
        <w:tc>
          <w:tcPr>
            <w:tcW w:w="1119" w:type="dxa"/>
            <w:noWrap/>
            <w:hideMark/>
          </w:tcPr>
          <w:p w14:paraId="4F3D7588" w14:textId="77777777" w:rsidR="00395EDC" w:rsidRPr="00395EDC" w:rsidRDefault="00395EDC"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eastAsia="et-EE"/>
              </w:rPr>
            </w:pPr>
            <w:r w:rsidRPr="00395EDC">
              <w:rPr>
                <w:rFonts w:ascii="Calibri" w:eastAsia="Times New Roman" w:hAnsi="Calibri" w:cs="Times New Roman"/>
                <w:b/>
                <w:bCs/>
                <w:sz w:val="20"/>
                <w:szCs w:val="20"/>
                <w:lang w:eastAsia="et-EE"/>
              </w:rPr>
              <w:t> </w:t>
            </w:r>
          </w:p>
        </w:tc>
        <w:tc>
          <w:tcPr>
            <w:tcW w:w="915" w:type="dxa"/>
            <w:noWrap/>
            <w:hideMark/>
          </w:tcPr>
          <w:p w14:paraId="03D2D14E" w14:textId="77777777" w:rsidR="00395EDC" w:rsidRPr="00395EDC" w:rsidRDefault="00395EDC"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eastAsia="et-EE"/>
              </w:rPr>
            </w:pPr>
            <w:r w:rsidRPr="00395EDC">
              <w:rPr>
                <w:rFonts w:ascii="Calibri" w:eastAsia="Times New Roman" w:hAnsi="Calibri" w:cs="Times New Roman"/>
                <w:b/>
                <w:bCs/>
                <w:sz w:val="20"/>
                <w:szCs w:val="20"/>
                <w:lang w:eastAsia="et-EE"/>
              </w:rPr>
              <w:t> </w:t>
            </w:r>
          </w:p>
        </w:tc>
        <w:tc>
          <w:tcPr>
            <w:tcW w:w="963" w:type="dxa"/>
            <w:noWrap/>
            <w:hideMark/>
          </w:tcPr>
          <w:p w14:paraId="49B44A38" w14:textId="77777777" w:rsidR="00395EDC" w:rsidRPr="00395EDC" w:rsidRDefault="00395EDC" w:rsidP="002E590D">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b/>
                <w:bCs/>
                <w:sz w:val="20"/>
                <w:szCs w:val="20"/>
                <w:lang w:eastAsia="et-EE"/>
              </w:rPr>
            </w:pPr>
            <w:r w:rsidRPr="00395EDC">
              <w:rPr>
                <w:rFonts w:ascii="Calibri" w:eastAsia="Times New Roman" w:hAnsi="Calibri" w:cs="Times New Roman"/>
                <w:b/>
                <w:bCs/>
                <w:sz w:val="20"/>
                <w:szCs w:val="20"/>
                <w:lang w:eastAsia="et-EE"/>
              </w:rPr>
              <w:t>593 702</w:t>
            </w:r>
          </w:p>
        </w:tc>
        <w:tc>
          <w:tcPr>
            <w:tcW w:w="886" w:type="dxa"/>
            <w:noWrap/>
            <w:hideMark/>
          </w:tcPr>
          <w:p w14:paraId="2490189E" w14:textId="77777777" w:rsidR="00395EDC" w:rsidRPr="00395EDC" w:rsidRDefault="00395EDC" w:rsidP="002E590D">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Times New Roman"/>
                <w:sz w:val="20"/>
                <w:szCs w:val="20"/>
                <w:lang w:eastAsia="et-EE"/>
              </w:rPr>
            </w:pPr>
            <w:r w:rsidRPr="00395EDC">
              <w:rPr>
                <w:rFonts w:ascii="Calibri" w:eastAsia="Times New Roman" w:hAnsi="Calibri" w:cs="Times New Roman"/>
                <w:sz w:val="20"/>
                <w:szCs w:val="20"/>
                <w:lang w:eastAsia="et-EE"/>
              </w:rPr>
              <w:t> </w:t>
            </w:r>
          </w:p>
        </w:tc>
      </w:tr>
    </w:tbl>
    <w:p w14:paraId="7AB8374C" w14:textId="77777777" w:rsidR="00064CA5" w:rsidRDefault="00064CA5" w:rsidP="002E590D">
      <w:pPr>
        <w:spacing w:after="0" w:line="240" w:lineRule="auto"/>
        <w:jc w:val="both"/>
        <w:rPr>
          <w:lang w:val="en-GB"/>
        </w:rPr>
      </w:pPr>
    </w:p>
    <w:p w14:paraId="0B740D9B" w14:textId="4C2D2383" w:rsidR="001971CF" w:rsidRPr="005053C3" w:rsidRDefault="3F518C5A" w:rsidP="002E590D">
      <w:pPr>
        <w:spacing w:after="0" w:line="240" w:lineRule="auto"/>
        <w:jc w:val="both"/>
        <w:rPr>
          <w:lang w:val="en-GB"/>
        </w:rPr>
      </w:pPr>
      <w:r w:rsidRPr="005053C3">
        <w:rPr>
          <w:lang w:val="en-GB"/>
        </w:rPr>
        <w:t xml:space="preserve">The basic scenario </w:t>
      </w:r>
      <w:r w:rsidR="6CCCAF38" w:rsidRPr="005053C3">
        <w:rPr>
          <w:lang w:val="en-GB"/>
        </w:rPr>
        <w:t>assumes the following:</w:t>
      </w:r>
      <w:r w:rsidR="05FCD909" w:rsidRPr="005053C3">
        <w:rPr>
          <w:lang w:val="en-GB"/>
        </w:rPr>
        <w:t xml:space="preserve"> </w:t>
      </w:r>
    </w:p>
    <w:p w14:paraId="2F63B747" w14:textId="7CC18120" w:rsidR="001971CF" w:rsidRPr="0081026E" w:rsidRDefault="00FF07E0" w:rsidP="002E590D">
      <w:pPr>
        <w:pStyle w:val="ListParagraph"/>
        <w:numPr>
          <w:ilvl w:val="0"/>
          <w:numId w:val="1"/>
        </w:numPr>
        <w:spacing w:after="0" w:line="240" w:lineRule="auto"/>
        <w:jc w:val="both"/>
        <w:rPr>
          <w:rFonts w:asciiTheme="minorHAnsi" w:eastAsiaTheme="minorEastAsia" w:hAnsiTheme="minorHAnsi" w:cstheme="minorBidi"/>
          <w:lang w:val="en-GB"/>
        </w:rPr>
      </w:pPr>
      <w:r w:rsidRPr="0081026E">
        <w:rPr>
          <w:rFonts w:asciiTheme="minorHAnsi" w:hAnsiTheme="minorHAnsi"/>
          <w:lang w:val="en-GB"/>
        </w:rPr>
        <w:t>1</w:t>
      </w:r>
      <w:r w:rsidR="000C096F">
        <w:rPr>
          <w:rFonts w:asciiTheme="minorHAnsi" w:hAnsiTheme="minorHAnsi"/>
          <w:lang w:val="en-GB"/>
        </w:rPr>
        <w:t xml:space="preserve"> </w:t>
      </w:r>
      <w:r w:rsidR="3F518C5A" w:rsidRPr="0081026E">
        <w:rPr>
          <w:rFonts w:asciiTheme="minorHAnsi" w:hAnsiTheme="minorHAnsi"/>
          <w:lang w:val="en-GB"/>
        </w:rPr>
        <w:t xml:space="preserve">500 patients in each FD patient </w:t>
      </w:r>
      <w:r w:rsidR="39C3A2F9" w:rsidRPr="0081026E">
        <w:rPr>
          <w:rFonts w:asciiTheme="minorHAnsi" w:hAnsiTheme="minorHAnsi"/>
          <w:lang w:val="en-GB"/>
        </w:rPr>
        <w:t>list</w:t>
      </w:r>
      <w:r w:rsidRPr="0081026E">
        <w:rPr>
          <w:rFonts w:asciiTheme="minorHAnsi" w:hAnsiTheme="minorHAnsi"/>
          <w:lang w:val="en-GB"/>
        </w:rPr>
        <w:t xml:space="preserve"> for single practitioner</w:t>
      </w:r>
      <w:r w:rsidR="004A6BD0">
        <w:rPr>
          <w:rFonts w:asciiTheme="minorHAnsi" w:hAnsiTheme="minorHAnsi"/>
          <w:lang w:val="en-GB"/>
        </w:rPr>
        <w:t xml:space="preserve"> in rural area</w:t>
      </w:r>
    </w:p>
    <w:p w14:paraId="78D59745" w14:textId="2683A8E7" w:rsidR="00FF07E0" w:rsidRPr="0081026E" w:rsidRDefault="00FF07E0" w:rsidP="002E590D">
      <w:pPr>
        <w:pStyle w:val="ListParagraph"/>
        <w:numPr>
          <w:ilvl w:val="0"/>
          <w:numId w:val="1"/>
        </w:numPr>
        <w:spacing w:after="0" w:line="240" w:lineRule="auto"/>
        <w:jc w:val="both"/>
        <w:rPr>
          <w:rFonts w:asciiTheme="minorHAnsi" w:eastAsiaTheme="minorEastAsia" w:hAnsiTheme="minorHAnsi" w:cstheme="minorBidi"/>
          <w:lang w:val="en-GB"/>
        </w:rPr>
      </w:pPr>
      <w:r w:rsidRPr="0081026E">
        <w:rPr>
          <w:rFonts w:asciiTheme="minorHAnsi" w:hAnsiTheme="minorHAnsi"/>
          <w:lang w:val="en-GB"/>
        </w:rPr>
        <w:t>10 000 patients in each group practice with at least 5 FDs</w:t>
      </w:r>
      <w:r w:rsidR="004A6BD0">
        <w:rPr>
          <w:rFonts w:asciiTheme="minorHAnsi" w:hAnsiTheme="minorHAnsi"/>
          <w:lang w:val="en-GB"/>
        </w:rPr>
        <w:t xml:space="preserve"> in urban aera</w:t>
      </w:r>
    </w:p>
    <w:p w14:paraId="19769ED7" w14:textId="344AFDE6" w:rsidR="001971CF" w:rsidRPr="0081026E" w:rsidRDefault="00395EDC" w:rsidP="002E590D">
      <w:pPr>
        <w:pStyle w:val="ListParagraph"/>
        <w:numPr>
          <w:ilvl w:val="0"/>
          <w:numId w:val="1"/>
        </w:numPr>
        <w:spacing w:after="0" w:line="240" w:lineRule="auto"/>
        <w:jc w:val="both"/>
        <w:rPr>
          <w:rFonts w:asciiTheme="minorHAnsi" w:hAnsiTheme="minorHAnsi"/>
          <w:lang w:val="en-GB"/>
        </w:rPr>
      </w:pPr>
      <w:r w:rsidRPr="0081026E">
        <w:rPr>
          <w:rFonts w:asciiTheme="minorHAnsi" w:hAnsiTheme="minorHAnsi"/>
          <w:lang w:val="en-GB"/>
        </w:rPr>
        <w:t>94</w:t>
      </w:r>
      <w:r w:rsidR="5B2C7612" w:rsidRPr="0081026E">
        <w:rPr>
          <w:rFonts w:asciiTheme="minorHAnsi" w:hAnsiTheme="minorHAnsi"/>
          <w:lang w:val="en-GB"/>
        </w:rPr>
        <w:t xml:space="preserve">% of the </w:t>
      </w:r>
      <w:r w:rsidR="3F518C5A" w:rsidRPr="0081026E">
        <w:rPr>
          <w:rFonts w:asciiTheme="minorHAnsi" w:hAnsiTheme="minorHAnsi"/>
          <w:lang w:val="en-GB"/>
        </w:rPr>
        <w:t xml:space="preserve">population </w:t>
      </w:r>
      <w:r w:rsidR="0081026E" w:rsidRPr="0081026E">
        <w:rPr>
          <w:rFonts w:asciiTheme="minorHAnsi" w:hAnsiTheme="minorHAnsi"/>
          <w:lang w:val="en-GB"/>
        </w:rPr>
        <w:t xml:space="preserve">is enrolled in the patient lists </w:t>
      </w:r>
    </w:p>
    <w:p w14:paraId="6F5C5A20" w14:textId="0205BFB9" w:rsidR="006243B9" w:rsidRDefault="383F6AE7" w:rsidP="002E590D">
      <w:pPr>
        <w:pStyle w:val="ListParagraph"/>
        <w:numPr>
          <w:ilvl w:val="0"/>
          <w:numId w:val="1"/>
        </w:numPr>
        <w:spacing w:after="0" w:line="240" w:lineRule="auto"/>
        <w:jc w:val="both"/>
        <w:rPr>
          <w:rFonts w:asciiTheme="minorHAnsi" w:hAnsiTheme="minorHAnsi"/>
          <w:lang w:val="en-GB"/>
        </w:rPr>
      </w:pPr>
      <w:r w:rsidRPr="0081026E">
        <w:rPr>
          <w:rFonts w:asciiTheme="minorHAnsi" w:hAnsiTheme="minorHAnsi"/>
          <w:lang w:val="en-GB"/>
        </w:rPr>
        <w:t>P</w:t>
      </w:r>
      <w:r w:rsidR="580B5EC1" w:rsidRPr="0081026E">
        <w:rPr>
          <w:rFonts w:asciiTheme="minorHAnsi" w:hAnsiTheme="minorHAnsi"/>
          <w:lang w:val="en-GB"/>
        </w:rPr>
        <w:t>o</w:t>
      </w:r>
      <w:r w:rsidR="71DDFD09" w:rsidRPr="0081026E">
        <w:rPr>
          <w:rFonts w:asciiTheme="minorHAnsi" w:hAnsiTheme="minorHAnsi"/>
          <w:lang w:val="en-GB"/>
        </w:rPr>
        <w:t>pulation co</w:t>
      </w:r>
      <w:r w:rsidR="580B5EC1" w:rsidRPr="0081026E">
        <w:rPr>
          <w:rFonts w:asciiTheme="minorHAnsi" w:hAnsiTheme="minorHAnsi"/>
          <w:lang w:val="en-GB"/>
        </w:rPr>
        <w:t xml:space="preserve">verage </w:t>
      </w:r>
      <w:r w:rsidR="6D2A564E" w:rsidRPr="0081026E">
        <w:rPr>
          <w:rFonts w:asciiTheme="minorHAnsi" w:hAnsiTheme="minorHAnsi"/>
          <w:lang w:val="en-GB"/>
        </w:rPr>
        <w:t>for</w:t>
      </w:r>
      <w:r w:rsidR="2EF424D8" w:rsidRPr="0081026E">
        <w:rPr>
          <w:rFonts w:asciiTheme="minorHAnsi" w:hAnsiTheme="minorHAnsi"/>
          <w:lang w:val="en-GB"/>
        </w:rPr>
        <w:t xml:space="preserve"> priority packages is estimated at: </w:t>
      </w:r>
      <w:r w:rsidR="15CBC1D9" w:rsidRPr="0081026E">
        <w:rPr>
          <w:rFonts w:asciiTheme="minorHAnsi" w:hAnsiTheme="minorHAnsi"/>
          <w:lang w:val="en-GB"/>
        </w:rPr>
        <w:t xml:space="preserve">70% for hypertension </w:t>
      </w:r>
      <w:r w:rsidR="634BFEB4" w:rsidRPr="0081026E">
        <w:rPr>
          <w:rFonts w:asciiTheme="minorHAnsi" w:hAnsiTheme="minorHAnsi"/>
          <w:lang w:val="en-GB"/>
        </w:rPr>
        <w:t>diabetes</w:t>
      </w:r>
      <w:r w:rsidR="0081026E" w:rsidRPr="0081026E">
        <w:rPr>
          <w:rFonts w:asciiTheme="minorHAnsi" w:hAnsiTheme="minorHAnsi"/>
          <w:lang w:val="en-GB"/>
        </w:rPr>
        <w:t xml:space="preserve"> and CVD</w:t>
      </w:r>
      <w:r w:rsidR="15CBC1D9" w:rsidRPr="0081026E">
        <w:rPr>
          <w:rFonts w:asciiTheme="minorHAnsi" w:hAnsiTheme="minorHAnsi"/>
          <w:lang w:val="en-GB"/>
        </w:rPr>
        <w:t xml:space="preserve"> and 95%</w:t>
      </w:r>
      <w:r w:rsidR="0F756E7F" w:rsidRPr="0081026E">
        <w:rPr>
          <w:rFonts w:asciiTheme="minorHAnsi" w:hAnsiTheme="minorHAnsi"/>
          <w:lang w:val="en-GB"/>
        </w:rPr>
        <w:t xml:space="preserve"> of eligible children</w:t>
      </w:r>
      <w:r w:rsidR="15CBC1D9" w:rsidRPr="0081026E">
        <w:rPr>
          <w:rFonts w:asciiTheme="minorHAnsi" w:hAnsiTheme="minorHAnsi"/>
          <w:lang w:val="en-GB"/>
        </w:rPr>
        <w:t xml:space="preserve"> for child health</w:t>
      </w:r>
      <w:r w:rsidR="1BE97E21" w:rsidRPr="0081026E">
        <w:rPr>
          <w:rFonts w:asciiTheme="minorHAnsi" w:hAnsiTheme="minorHAnsi"/>
          <w:lang w:val="en-GB"/>
        </w:rPr>
        <w:t xml:space="preserve"> </w:t>
      </w:r>
    </w:p>
    <w:p w14:paraId="3198C319" w14:textId="77777777" w:rsidR="00014DBD" w:rsidRPr="0081026E" w:rsidRDefault="00014DBD" w:rsidP="000C096F">
      <w:pPr>
        <w:pStyle w:val="ListParagraph"/>
        <w:spacing w:after="0" w:line="240" w:lineRule="auto"/>
        <w:jc w:val="both"/>
        <w:rPr>
          <w:rFonts w:asciiTheme="minorHAnsi" w:hAnsiTheme="minorHAnsi"/>
          <w:lang w:val="en-GB"/>
        </w:rPr>
      </w:pPr>
    </w:p>
    <w:p w14:paraId="1FF11CE9" w14:textId="7163A086" w:rsidR="0002120B" w:rsidRDefault="52403D3D" w:rsidP="002E590D">
      <w:pPr>
        <w:spacing w:after="0" w:line="240" w:lineRule="auto"/>
        <w:jc w:val="both"/>
        <w:rPr>
          <w:rFonts w:eastAsiaTheme="minorEastAsia"/>
          <w:color w:val="000000" w:themeColor="text1"/>
          <w:lang w:val="en-GB"/>
        </w:rPr>
      </w:pPr>
      <w:r w:rsidRPr="005053C3">
        <w:rPr>
          <w:lang w:val="en-GB"/>
        </w:rPr>
        <w:t>The basic capitation for a</w:t>
      </w:r>
      <w:r w:rsidR="0002120B" w:rsidRPr="005053C3">
        <w:rPr>
          <w:lang w:val="en-GB"/>
        </w:rPr>
        <w:t xml:space="preserve"> single practitioner</w:t>
      </w:r>
      <w:r w:rsidRPr="005053C3">
        <w:rPr>
          <w:lang w:val="en-GB"/>
        </w:rPr>
        <w:t xml:space="preserve"> FD working </w:t>
      </w:r>
      <w:r w:rsidR="0002120B" w:rsidRPr="005053C3">
        <w:rPr>
          <w:lang w:val="en-GB"/>
        </w:rPr>
        <w:t xml:space="preserve">without a </w:t>
      </w:r>
      <w:r w:rsidR="00C73F6E">
        <w:rPr>
          <w:lang w:val="en-GB"/>
        </w:rPr>
        <w:t>FN</w:t>
      </w:r>
      <w:r w:rsidRPr="0081026E">
        <w:rPr>
          <w:lang w:val="en-GB"/>
        </w:rPr>
        <w:t xml:space="preserve"> should be </w:t>
      </w:r>
      <w:r w:rsidR="00C73F6E">
        <w:rPr>
          <w:lang w:val="en-GB"/>
        </w:rPr>
        <w:t>2</w:t>
      </w:r>
      <w:r w:rsidR="009730C4">
        <w:rPr>
          <w:lang w:val="en-GB"/>
        </w:rPr>
        <w:t>,</w:t>
      </w:r>
      <w:r w:rsidR="00C73F6E">
        <w:rPr>
          <w:lang w:val="en-GB"/>
        </w:rPr>
        <w:t>91</w:t>
      </w:r>
      <w:r w:rsidR="0081026E" w:rsidRPr="0081026E">
        <w:rPr>
          <w:lang w:val="en-GB"/>
        </w:rPr>
        <w:t xml:space="preserve"> </w:t>
      </w:r>
      <w:r w:rsidRPr="0081026E">
        <w:rPr>
          <w:lang w:val="en-GB"/>
        </w:rPr>
        <w:t xml:space="preserve">GEL. </w:t>
      </w:r>
      <w:r w:rsidR="2A09AE4B" w:rsidRPr="0081026E">
        <w:rPr>
          <w:lang w:val="en-GB"/>
        </w:rPr>
        <w:t xml:space="preserve">As an incentive </w:t>
      </w:r>
      <w:r w:rsidR="54E34F13" w:rsidRPr="0081026E">
        <w:rPr>
          <w:lang w:val="en-GB"/>
        </w:rPr>
        <w:t xml:space="preserve">to work jointly with a </w:t>
      </w:r>
      <w:r w:rsidR="00C73F6E">
        <w:rPr>
          <w:lang w:val="en-GB"/>
        </w:rPr>
        <w:t>FN</w:t>
      </w:r>
      <w:r w:rsidR="54E34F13" w:rsidRPr="0081026E">
        <w:rPr>
          <w:lang w:val="en-GB"/>
        </w:rPr>
        <w:t xml:space="preserve">, </w:t>
      </w:r>
      <w:r w:rsidR="0002120B" w:rsidRPr="0081026E">
        <w:rPr>
          <w:lang w:val="en-GB"/>
        </w:rPr>
        <w:t xml:space="preserve">the capitation amount </w:t>
      </w:r>
      <w:r w:rsidR="00953B0E">
        <w:rPr>
          <w:lang w:val="en-GB"/>
        </w:rPr>
        <w:t>could</w:t>
      </w:r>
      <w:r w:rsidR="00953B0E" w:rsidRPr="0081026E">
        <w:rPr>
          <w:lang w:val="en-GB"/>
        </w:rPr>
        <w:t xml:space="preserve"> </w:t>
      </w:r>
      <w:r w:rsidR="0002120B" w:rsidRPr="0081026E">
        <w:rPr>
          <w:lang w:val="en-GB"/>
        </w:rPr>
        <w:t xml:space="preserve">be lowered and paid </w:t>
      </w:r>
      <w:r w:rsidR="0002120B" w:rsidRPr="005053C3">
        <w:rPr>
          <w:lang w:val="en-GB"/>
        </w:rPr>
        <w:t xml:space="preserve">with </w:t>
      </w:r>
      <w:r w:rsidR="54E34F13" w:rsidRPr="005053C3">
        <w:rPr>
          <w:lang w:val="en-GB"/>
        </w:rPr>
        <w:t>a coefficient of 0</w:t>
      </w:r>
      <w:r w:rsidR="009730C4">
        <w:rPr>
          <w:lang w:val="en-GB"/>
        </w:rPr>
        <w:t>,</w:t>
      </w:r>
      <w:r w:rsidR="54E34F13" w:rsidRPr="005053C3">
        <w:rPr>
          <w:lang w:val="en-GB"/>
        </w:rPr>
        <w:t>7</w:t>
      </w:r>
      <w:r w:rsidR="0002120B" w:rsidRPr="005053C3">
        <w:rPr>
          <w:lang w:val="en-GB"/>
        </w:rPr>
        <w:t xml:space="preserve"> </w:t>
      </w:r>
      <w:r w:rsidR="4F1FFBDC" w:rsidRPr="005053C3">
        <w:rPr>
          <w:lang w:val="en-GB"/>
        </w:rPr>
        <w:t>(this excludes</w:t>
      </w:r>
      <w:r w:rsidR="54E34F13" w:rsidRPr="005053C3">
        <w:rPr>
          <w:lang w:val="en-GB"/>
        </w:rPr>
        <w:t xml:space="preserve"> workforce costs related to a </w:t>
      </w:r>
      <w:r w:rsidR="00C73F6E">
        <w:rPr>
          <w:lang w:val="en-GB"/>
        </w:rPr>
        <w:t>FN</w:t>
      </w:r>
      <w:r w:rsidR="03FCB4C1" w:rsidRPr="005053C3">
        <w:rPr>
          <w:lang w:val="en-GB"/>
        </w:rPr>
        <w:t>)</w:t>
      </w:r>
      <w:r w:rsidR="54E34F13" w:rsidRPr="005053C3">
        <w:rPr>
          <w:lang w:val="en-GB"/>
        </w:rPr>
        <w:t>.</w:t>
      </w:r>
      <w:r w:rsidR="49FFD4A3" w:rsidRPr="005053C3">
        <w:rPr>
          <w:lang w:val="en-GB"/>
        </w:rPr>
        <w:t xml:space="preserve"> </w:t>
      </w:r>
      <w:r w:rsidR="5B021B42" w:rsidRPr="005053C3">
        <w:rPr>
          <w:rFonts w:eastAsiaTheme="minorEastAsia"/>
          <w:color w:val="000000" w:themeColor="text1"/>
          <w:lang w:val="en-GB"/>
        </w:rPr>
        <w:t>If the full capitation i</w:t>
      </w:r>
      <w:r w:rsidR="2AAD604D" w:rsidRPr="005053C3">
        <w:rPr>
          <w:rFonts w:eastAsiaTheme="minorEastAsia"/>
          <w:color w:val="000000" w:themeColor="text1"/>
          <w:lang w:val="en-GB"/>
        </w:rPr>
        <w:t>s</w:t>
      </w:r>
      <w:r w:rsidR="5B021B42" w:rsidRPr="005053C3">
        <w:rPr>
          <w:rFonts w:eastAsiaTheme="minorEastAsia"/>
          <w:color w:val="000000" w:themeColor="text1"/>
          <w:lang w:val="en-GB"/>
        </w:rPr>
        <w:t xml:space="preserve"> </w:t>
      </w:r>
      <w:r w:rsidR="41EE01CD" w:rsidRPr="005053C3">
        <w:rPr>
          <w:rFonts w:eastAsiaTheme="minorEastAsia"/>
          <w:color w:val="000000" w:themeColor="text1"/>
          <w:lang w:val="en-GB"/>
        </w:rPr>
        <w:t xml:space="preserve">still </w:t>
      </w:r>
      <w:r w:rsidR="5B021B42" w:rsidRPr="005053C3">
        <w:rPr>
          <w:rFonts w:eastAsiaTheme="minorEastAsia"/>
          <w:color w:val="000000" w:themeColor="text1"/>
          <w:lang w:val="en-GB"/>
        </w:rPr>
        <w:t xml:space="preserve">paid for providers </w:t>
      </w:r>
      <w:r w:rsidR="5B021B42" w:rsidRPr="0081026E">
        <w:rPr>
          <w:rFonts w:eastAsiaTheme="minorEastAsia"/>
          <w:lang w:val="en-GB"/>
        </w:rPr>
        <w:t xml:space="preserve">working without a </w:t>
      </w:r>
      <w:r w:rsidR="00C73F6E">
        <w:rPr>
          <w:rFonts w:eastAsiaTheme="minorEastAsia"/>
          <w:lang w:val="en-GB"/>
        </w:rPr>
        <w:t>FN</w:t>
      </w:r>
      <w:r w:rsidR="5B021B42" w:rsidRPr="0081026E">
        <w:rPr>
          <w:rFonts w:eastAsiaTheme="minorEastAsia"/>
          <w:lang w:val="en-GB"/>
        </w:rPr>
        <w:t xml:space="preserve">, it may </w:t>
      </w:r>
      <w:r w:rsidR="534120C7" w:rsidRPr="0081026E">
        <w:rPr>
          <w:rFonts w:eastAsiaTheme="minorEastAsia"/>
          <w:lang w:val="en-GB"/>
        </w:rPr>
        <w:t>incentivize</w:t>
      </w:r>
      <w:r w:rsidR="5B021B42" w:rsidRPr="0081026E">
        <w:rPr>
          <w:rFonts w:eastAsiaTheme="minorEastAsia"/>
          <w:lang w:val="en-GB"/>
        </w:rPr>
        <w:t xml:space="preserve"> </w:t>
      </w:r>
      <w:r w:rsidR="1C3E85D6" w:rsidRPr="0081026E">
        <w:rPr>
          <w:rFonts w:eastAsiaTheme="minorEastAsia"/>
          <w:lang w:val="en-GB"/>
        </w:rPr>
        <w:t>FDs to</w:t>
      </w:r>
      <w:r w:rsidR="3FB00888" w:rsidRPr="0081026E">
        <w:rPr>
          <w:rFonts w:eastAsiaTheme="minorEastAsia"/>
          <w:lang w:val="en-GB"/>
        </w:rPr>
        <w:t xml:space="preserve"> work alone in order to</w:t>
      </w:r>
      <w:r w:rsidR="2E9A46F8" w:rsidRPr="0081026E">
        <w:rPr>
          <w:rFonts w:eastAsiaTheme="minorEastAsia"/>
          <w:lang w:val="en-GB"/>
        </w:rPr>
        <w:t xml:space="preserve"> increase their profit</w:t>
      </w:r>
      <w:r w:rsidR="09F8A4C7" w:rsidRPr="0081026E">
        <w:rPr>
          <w:rFonts w:eastAsiaTheme="minorEastAsia"/>
          <w:lang w:val="en-GB"/>
        </w:rPr>
        <w:t>s</w:t>
      </w:r>
      <w:r w:rsidR="2E9A46F8" w:rsidRPr="0081026E">
        <w:rPr>
          <w:rFonts w:eastAsiaTheme="minorEastAsia"/>
          <w:lang w:val="en-GB"/>
        </w:rPr>
        <w:t>.</w:t>
      </w:r>
      <w:r w:rsidR="01AC34F5" w:rsidRPr="0081026E">
        <w:rPr>
          <w:rFonts w:eastAsiaTheme="minorEastAsia"/>
          <w:lang w:val="en-GB"/>
        </w:rPr>
        <w:t xml:space="preserve"> </w:t>
      </w:r>
      <w:r w:rsidR="0002120B" w:rsidRPr="0081026E">
        <w:rPr>
          <w:rFonts w:eastAsiaTheme="minorEastAsia"/>
          <w:lang w:val="en-GB"/>
        </w:rPr>
        <w:t xml:space="preserve">In a group practice, 5 FDs and 5 </w:t>
      </w:r>
      <w:r w:rsidR="00C73F6E">
        <w:rPr>
          <w:rFonts w:eastAsiaTheme="minorEastAsia"/>
          <w:lang w:val="en-GB"/>
        </w:rPr>
        <w:t>FNs</w:t>
      </w:r>
      <w:r w:rsidR="0002120B" w:rsidRPr="0081026E">
        <w:rPr>
          <w:rFonts w:eastAsiaTheme="minorEastAsia"/>
          <w:lang w:val="en-GB"/>
        </w:rPr>
        <w:t xml:space="preserve"> and </w:t>
      </w:r>
      <w:r w:rsidR="0081026E" w:rsidRPr="0081026E">
        <w:rPr>
          <w:rFonts w:eastAsiaTheme="minorEastAsia"/>
          <w:lang w:val="en-GB"/>
        </w:rPr>
        <w:t>at least one supporting specialist</w:t>
      </w:r>
      <w:r w:rsidR="0002120B" w:rsidRPr="0081026E">
        <w:rPr>
          <w:rFonts w:eastAsiaTheme="minorEastAsia"/>
          <w:lang w:val="en-GB"/>
        </w:rPr>
        <w:t xml:space="preserve"> should be a minimum requirement. If this </w:t>
      </w:r>
      <w:r w:rsidR="0081026E" w:rsidRPr="0081026E">
        <w:rPr>
          <w:rFonts w:eastAsiaTheme="minorEastAsia"/>
          <w:lang w:val="en-GB"/>
        </w:rPr>
        <w:t>cannot</w:t>
      </w:r>
      <w:r w:rsidR="0002120B" w:rsidRPr="0081026E">
        <w:rPr>
          <w:rFonts w:eastAsiaTheme="minorEastAsia"/>
          <w:lang w:val="en-GB"/>
        </w:rPr>
        <w:t xml:space="preserve"> be accomplished, also a coefficient of 0</w:t>
      </w:r>
      <w:r w:rsidR="009730C4">
        <w:rPr>
          <w:rFonts w:eastAsiaTheme="minorEastAsia"/>
          <w:lang w:val="en-GB"/>
        </w:rPr>
        <w:t>,</w:t>
      </w:r>
      <w:r w:rsidR="0081026E">
        <w:rPr>
          <w:rFonts w:eastAsiaTheme="minorEastAsia"/>
          <w:lang w:val="en-GB"/>
        </w:rPr>
        <w:t>7</w:t>
      </w:r>
      <w:r w:rsidR="0002120B" w:rsidRPr="0081026E">
        <w:rPr>
          <w:rFonts w:eastAsiaTheme="minorEastAsia"/>
          <w:lang w:val="en-GB"/>
        </w:rPr>
        <w:t xml:space="preserve">5 should be </w:t>
      </w:r>
      <w:r w:rsidR="0002120B" w:rsidRPr="005053C3">
        <w:rPr>
          <w:rFonts w:eastAsiaTheme="minorEastAsia"/>
          <w:color w:val="000000" w:themeColor="text1"/>
          <w:lang w:val="en-GB"/>
        </w:rPr>
        <w:t>applied to the capitation amount.</w:t>
      </w:r>
    </w:p>
    <w:p w14:paraId="601E8170" w14:textId="77777777" w:rsidR="009730C4" w:rsidRPr="005053C3" w:rsidRDefault="009730C4" w:rsidP="002E590D">
      <w:pPr>
        <w:spacing w:after="0" w:line="240" w:lineRule="auto"/>
        <w:jc w:val="both"/>
        <w:rPr>
          <w:rFonts w:eastAsiaTheme="minorEastAsia"/>
          <w:color w:val="000000" w:themeColor="text1"/>
          <w:lang w:val="en-GB"/>
        </w:rPr>
      </w:pPr>
    </w:p>
    <w:p w14:paraId="6078CF92" w14:textId="6A712A9A" w:rsidR="00BC23C8" w:rsidRDefault="172133D3" w:rsidP="002E590D">
      <w:pPr>
        <w:spacing w:after="0" w:line="240" w:lineRule="auto"/>
        <w:jc w:val="both"/>
        <w:rPr>
          <w:rFonts w:ascii="Calibri" w:eastAsia="Calibri" w:hAnsi="Calibri" w:cs="Calibri"/>
          <w:lang w:val="en-GB"/>
        </w:rPr>
      </w:pPr>
      <w:r w:rsidRPr="005053C3">
        <w:rPr>
          <w:lang w:val="en-GB"/>
        </w:rPr>
        <w:t>Establishment of a</w:t>
      </w:r>
      <w:r w:rsidR="3F4C1C5D" w:rsidRPr="005053C3">
        <w:rPr>
          <w:lang w:val="en-GB"/>
        </w:rPr>
        <w:t xml:space="preserve"> </w:t>
      </w:r>
      <w:r w:rsidR="08276B0C" w:rsidRPr="005053C3">
        <w:rPr>
          <w:lang w:val="en-GB"/>
        </w:rPr>
        <w:t>patient</w:t>
      </w:r>
      <w:r w:rsidR="2AC4627D" w:rsidRPr="005053C3">
        <w:rPr>
          <w:lang w:val="en-GB"/>
        </w:rPr>
        <w:t xml:space="preserve"> enrolment</w:t>
      </w:r>
      <w:r w:rsidR="02C12466" w:rsidRPr="005053C3">
        <w:rPr>
          <w:lang w:val="en-GB"/>
        </w:rPr>
        <w:t xml:space="preserve"> system</w:t>
      </w:r>
      <w:r w:rsidR="2AC4627D" w:rsidRPr="005053C3">
        <w:rPr>
          <w:lang w:val="en-GB"/>
        </w:rPr>
        <w:t xml:space="preserve"> is a prerequisite for</w:t>
      </w:r>
      <w:r w:rsidR="7DA16635" w:rsidRPr="005053C3">
        <w:rPr>
          <w:lang w:val="en-GB"/>
        </w:rPr>
        <w:t xml:space="preserve"> implement</w:t>
      </w:r>
      <w:r w:rsidR="1335444B" w:rsidRPr="005053C3">
        <w:rPr>
          <w:lang w:val="en-GB"/>
        </w:rPr>
        <w:t>ing</w:t>
      </w:r>
      <w:r w:rsidR="7DA16635" w:rsidRPr="005053C3">
        <w:rPr>
          <w:lang w:val="en-GB"/>
        </w:rPr>
        <w:t xml:space="preserve"> the</w:t>
      </w:r>
      <w:r w:rsidR="40FC16CD" w:rsidRPr="005053C3">
        <w:rPr>
          <w:lang w:val="en-GB"/>
        </w:rPr>
        <w:t xml:space="preserve"> proposed</w:t>
      </w:r>
      <w:r w:rsidR="7DA16635" w:rsidRPr="005053C3">
        <w:rPr>
          <w:lang w:val="en-GB"/>
        </w:rPr>
        <w:t xml:space="preserve"> payment model</w:t>
      </w:r>
      <w:r w:rsidR="2709C536" w:rsidRPr="005053C3">
        <w:rPr>
          <w:lang w:val="en-GB"/>
        </w:rPr>
        <w:t xml:space="preserve">. </w:t>
      </w:r>
      <w:r w:rsidR="73632235" w:rsidRPr="005053C3">
        <w:rPr>
          <w:rFonts w:ascii="Calibri" w:eastAsia="Calibri" w:hAnsi="Calibri" w:cs="Calibri"/>
          <w:lang w:val="en-GB"/>
        </w:rPr>
        <w:t xml:space="preserve">Patient enrolment </w:t>
      </w:r>
      <w:r w:rsidR="5726EC80" w:rsidRPr="005053C3">
        <w:rPr>
          <w:rFonts w:ascii="Calibri" w:eastAsia="Calibri" w:hAnsi="Calibri" w:cs="Calibri"/>
          <w:lang w:val="en-GB"/>
        </w:rPr>
        <w:t>can be established by assignment</w:t>
      </w:r>
      <w:r w:rsidR="7BCF06E3" w:rsidRPr="005053C3">
        <w:rPr>
          <w:rFonts w:ascii="Calibri" w:eastAsia="Calibri" w:hAnsi="Calibri" w:cs="Calibri"/>
          <w:lang w:val="en-GB"/>
        </w:rPr>
        <w:t xml:space="preserve"> (according to catchment area)</w:t>
      </w:r>
      <w:r w:rsidR="5726EC80" w:rsidRPr="005053C3">
        <w:rPr>
          <w:rFonts w:ascii="Calibri" w:eastAsia="Calibri" w:hAnsi="Calibri" w:cs="Calibri"/>
          <w:lang w:val="en-GB"/>
        </w:rPr>
        <w:t xml:space="preserve"> or </w:t>
      </w:r>
      <w:r w:rsidR="1D32EBC7" w:rsidRPr="005053C3">
        <w:rPr>
          <w:rFonts w:ascii="Calibri" w:eastAsia="Calibri" w:hAnsi="Calibri" w:cs="Calibri"/>
          <w:lang w:val="en-GB"/>
        </w:rPr>
        <w:t>via</w:t>
      </w:r>
      <w:r w:rsidR="5726EC80" w:rsidRPr="005053C3">
        <w:rPr>
          <w:rFonts w:ascii="Calibri" w:eastAsia="Calibri" w:hAnsi="Calibri" w:cs="Calibri"/>
          <w:lang w:val="en-GB"/>
        </w:rPr>
        <w:t xml:space="preserve"> open </w:t>
      </w:r>
      <w:r w:rsidR="490CFA15" w:rsidRPr="005053C3">
        <w:rPr>
          <w:rFonts w:ascii="Calibri" w:eastAsia="Calibri" w:hAnsi="Calibri" w:cs="Calibri"/>
          <w:lang w:val="en-GB"/>
        </w:rPr>
        <w:t>enrolment</w:t>
      </w:r>
      <w:r w:rsidR="5726EC80" w:rsidRPr="005053C3">
        <w:rPr>
          <w:rFonts w:ascii="Calibri" w:eastAsia="Calibri" w:hAnsi="Calibri" w:cs="Calibri"/>
          <w:lang w:val="en-GB"/>
        </w:rPr>
        <w:t xml:space="preserve">. </w:t>
      </w:r>
      <w:r w:rsidR="138F67CD" w:rsidRPr="005053C3">
        <w:rPr>
          <w:rFonts w:ascii="Calibri" w:eastAsia="Calibri" w:hAnsi="Calibri" w:cs="Calibri"/>
          <w:lang w:val="en-GB"/>
        </w:rPr>
        <w:t>Catchment areas for PHC have been defined by the Ministry</w:t>
      </w:r>
      <w:r w:rsidR="125F2AC9" w:rsidRPr="005053C3">
        <w:rPr>
          <w:rFonts w:ascii="Calibri" w:eastAsia="Calibri" w:hAnsi="Calibri" w:cs="Calibri"/>
          <w:lang w:val="en-GB"/>
        </w:rPr>
        <w:t xml:space="preserve">. </w:t>
      </w:r>
      <w:r w:rsidR="5726EC80" w:rsidRPr="005053C3">
        <w:rPr>
          <w:rFonts w:ascii="Calibri" w:eastAsia="Calibri" w:hAnsi="Calibri" w:cs="Calibri"/>
          <w:lang w:val="en-GB"/>
        </w:rPr>
        <w:t xml:space="preserve">If </w:t>
      </w:r>
      <w:r w:rsidR="5AFB95DB" w:rsidRPr="005053C3">
        <w:rPr>
          <w:rFonts w:ascii="Calibri" w:eastAsia="Calibri" w:hAnsi="Calibri" w:cs="Calibri"/>
          <w:lang w:val="en-GB"/>
        </w:rPr>
        <w:t xml:space="preserve">enrolment by assignment </w:t>
      </w:r>
      <w:r w:rsidR="5726EC80" w:rsidRPr="005053C3">
        <w:rPr>
          <w:rFonts w:ascii="Calibri" w:eastAsia="Calibri" w:hAnsi="Calibri" w:cs="Calibri"/>
          <w:lang w:val="en-GB"/>
        </w:rPr>
        <w:lastRenderedPageBreak/>
        <w:t xml:space="preserve">is selected, </w:t>
      </w:r>
      <w:r w:rsidR="65FF2DA9" w:rsidRPr="005053C3">
        <w:rPr>
          <w:rFonts w:ascii="Calibri" w:eastAsia="Calibri" w:hAnsi="Calibri" w:cs="Calibri"/>
          <w:lang w:val="en-GB"/>
        </w:rPr>
        <w:t xml:space="preserve">clear </w:t>
      </w:r>
      <w:r w:rsidR="5726EC80" w:rsidRPr="005053C3">
        <w:rPr>
          <w:rFonts w:ascii="Calibri" w:eastAsia="Calibri" w:hAnsi="Calibri" w:cs="Calibri"/>
          <w:lang w:val="en-GB"/>
        </w:rPr>
        <w:t xml:space="preserve">criteria </w:t>
      </w:r>
      <w:r w:rsidR="2E01B076" w:rsidRPr="005053C3">
        <w:rPr>
          <w:rFonts w:ascii="Calibri" w:eastAsia="Calibri" w:hAnsi="Calibri" w:cs="Calibri"/>
          <w:lang w:val="en-GB"/>
        </w:rPr>
        <w:t xml:space="preserve">are needed </w:t>
      </w:r>
      <w:r w:rsidR="5726EC80" w:rsidRPr="005053C3">
        <w:rPr>
          <w:rFonts w:ascii="Calibri" w:eastAsia="Calibri" w:hAnsi="Calibri" w:cs="Calibri"/>
          <w:lang w:val="en-GB"/>
        </w:rPr>
        <w:t xml:space="preserve">for assigning the population to </w:t>
      </w:r>
      <w:r w:rsidR="1CFAADF6" w:rsidRPr="005053C3">
        <w:rPr>
          <w:rFonts w:ascii="Calibri" w:eastAsia="Calibri" w:hAnsi="Calibri" w:cs="Calibri"/>
          <w:lang w:val="en-GB"/>
        </w:rPr>
        <w:t xml:space="preserve">a </w:t>
      </w:r>
      <w:r w:rsidR="5726EC80" w:rsidRPr="005053C3">
        <w:rPr>
          <w:rFonts w:ascii="Calibri" w:eastAsia="Calibri" w:hAnsi="Calibri" w:cs="Calibri"/>
          <w:lang w:val="en-GB"/>
        </w:rPr>
        <w:t>PHC practice by</w:t>
      </w:r>
      <w:r w:rsidR="7D4BED7B" w:rsidRPr="005053C3">
        <w:rPr>
          <w:rFonts w:ascii="Calibri" w:eastAsia="Calibri" w:hAnsi="Calibri" w:cs="Calibri"/>
          <w:lang w:val="en-GB"/>
        </w:rPr>
        <w:t xml:space="preserve"> catchment area</w:t>
      </w:r>
      <w:r w:rsidR="5726EC80" w:rsidRPr="005053C3">
        <w:rPr>
          <w:rFonts w:ascii="Calibri" w:eastAsia="Calibri" w:hAnsi="Calibri" w:cs="Calibri"/>
          <w:lang w:val="en-GB"/>
        </w:rPr>
        <w:t xml:space="preserve"> (village, or streets/</w:t>
      </w:r>
      <w:r w:rsidR="0F166960" w:rsidRPr="005053C3">
        <w:rPr>
          <w:rFonts w:ascii="Calibri" w:eastAsia="Calibri" w:hAnsi="Calibri" w:cs="Calibri"/>
          <w:lang w:val="en-GB"/>
        </w:rPr>
        <w:t>neighbourhoods</w:t>
      </w:r>
      <w:r w:rsidR="5726EC80" w:rsidRPr="005053C3">
        <w:rPr>
          <w:rFonts w:ascii="Calibri" w:eastAsia="Calibri" w:hAnsi="Calibri" w:cs="Calibri"/>
          <w:lang w:val="en-GB"/>
        </w:rPr>
        <w:t xml:space="preserve"> in urban areas), </w:t>
      </w:r>
      <w:r w:rsidR="559163D0" w:rsidRPr="005053C3">
        <w:rPr>
          <w:rFonts w:ascii="Calibri" w:eastAsia="Calibri" w:hAnsi="Calibri" w:cs="Calibri"/>
          <w:lang w:val="en-GB"/>
        </w:rPr>
        <w:t xml:space="preserve">and for defining </w:t>
      </w:r>
      <w:r w:rsidR="5726EC80" w:rsidRPr="005053C3">
        <w:rPr>
          <w:rFonts w:ascii="Calibri" w:eastAsia="Calibri" w:hAnsi="Calibri" w:cs="Calibri"/>
          <w:lang w:val="en-GB"/>
        </w:rPr>
        <w:t xml:space="preserve">the number of </w:t>
      </w:r>
      <w:r w:rsidR="46ABC5FC" w:rsidRPr="005053C3">
        <w:rPr>
          <w:rFonts w:ascii="Calibri" w:eastAsia="Calibri" w:hAnsi="Calibri" w:cs="Calibri"/>
          <w:lang w:val="en-GB"/>
        </w:rPr>
        <w:t>enrolees</w:t>
      </w:r>
      <w:r w:rsidR="5726EC80" w:rsidRPr="005053C3">
        <w:rPr>
          <w:rFonts w:ascii="Calibri" w:eastAsia="Calibri" w:hAnsi="Calibri" w:cs="Calibri"/>
          <w:lang w:val="en-GB"/>
        </w:rPr>
        <w:t xml:space="preserve"> per </w:t>
      </w:r>
      <w:r w:rsidR="00C73F6E">
        <w:rPr>
          <w:rFonts w:ascii="Calibri" w:eastAsia="Calibri" w:hAnsi="Calibri" w:cs="Calibri"/>
          <w:lang w:val="en-GB"/>
        </w:rPr>
        <w:t>FD</w:t>
      </w:r>
      <w:r w:rsidR="5726EC80" w:rsidRPr="005053C3">
        <w:rPr>
          <w:rFonts w:ascii="Calibri" w:eastAsia="Calibri" w:hAnsi="Calibri" w:cs="Calibri"/>
          <w:lang w:val="en-GB"/>
        </w:rPr>
        <w:t xml:space="preserve"> (such as </w:t>
      </w:r>
      <w:r w:rsidR="0002120B" w:rsidRPr="005053C3">
        <w:rPr>
          <w:rFonts w:ascii="Calibri" w:eastAsia="Calibri" w:hAnsi="Calibri" w:cs="Calibri"/>
          <w:lang w:val="en-GB"/>
        </w:rPr>
        <w:t>1</w:t>
      </w:r>
      <w:r w:rsidR="009730C4">
        <w:rPr>
          <w:rFonts w:ascii="Calibri" w:eastAsia="Calibri" w:hAnsi="Calibri" w:cs="Calibri"/>
          <w:lang w:val="en-GB"/>
        </w:rPr>
        <w:t xml:space="preserve"> </w:t>
      </w:r>
      <w:r w:rsidR="5726EC80" w:rsidRPr="005053C3">
        <w:rPr>
          <w:rFonts w:ascii="Calibri" w:eastAsia="Calibri" w:hAnsi="Calibri" w:cs="Calibri"/>
          <w:lang w:val="en-GB"/>
        </w:rPr>
        <w:t xml:space="preserve">500 patients per </w:t>
      </w:r>
      <w:r w:rsidR="0002120B" w:rsidRPr="005053C3">
        <w:rPr>
          <w:rFonts w:ascii="Calibri" w:eastAsia="Calibri" w:hAnsi="Calibri" w:cs="Calibri"/>
          <w:lang w:val="en-GB"/>
        </w:rPr>
        <w:t>single practitioner and 10</w:t>
      </w:r>
      <w:r w:rsidR="009730C4">
        <w:rPr>
          <w:rFonts w:ascii="Calibri" w:eastAsia="Calibri" w:hAnsi="Calibri" w:cs="Calibri"/>
          <w:lang w:val="en-GB"/>
        </w:rPr>
        <w:t xml:space="preserve"> </w:t>
      </w:r>
      <w:r w:rsidR="0002120B" w:rsidRPr="005053C3">
        <w:rPr>
          <w:rFonts w:ascii="Calibri" w:eastAsia="Calibri" w:hAnsi="Calibri" w:cs="Calibri"/>
          <w:lang w:val="en-GB"/>
        </w:rPr>
        <w:t>000 patients for a 5 FD group practice</w:t>
      </w:r>
      <w:r w:rsidR="5726EC80" w:rsidRPr="005053C3">
        <w:rPr>
          <w:rFonts w:ascii="Calibri" w:eastAsia="Calibri" w:hAnsi="Calibri" w:cs="Calibri"/>
          <w:lang w:val="en-GB"/>
        </w:rPr>
        <w:t xml:space="preserve">), or some combination of these criteria. The process should be </w:t>
      </w:r>
      <w:r w:rsidR="5F4F49F3" w:rsidRPr="005053C3">
        <w:rPr>
          <w:rFonts w:ascii="Calibri" w:eastAsia="Calibri" w:hAnsi="Calibri" w:cs="Calibri"/>
          <w:lang w:val="en-GB"/>
        </w:rPr>
        <w:t>transparent and</w:t>
      </w:r>
      <w:r w:rsidR="5726EC80" w:rsidRPr="005053C3">
        <w:rPr>
          <w:rFonts w:ascii="Calibri" w:eastAsia="Calibri" w:hAnsi="Calibri" w:cs="Calibri"/>
          <w:lang w:val="en-GB"/>
        </w:rPr>
        <w:t xml:space="preserve"> </w:t>
      </w:r>
      <w:r w:rsidR="1E7A398D" w:rsidRPr="005053C3">
        <w:rPr>
          <w:rFonts w:ascii="Calibri" w:eastAsia="Calibri" w:hAnsi="Calibri" w:cs="Calibri"/>
          <w:lang w:val="en-GB"/>
        </w:rPr>
        <w:t xml:space="preserve">include </w:t>
      </w:r>
      <w:r w:rsidR="1101327F" w:rsidRPr="005053C3">
        <w:rPr>
          <w:rFonts w:ascii="Calibri" w:eastAsia="Calibri" w:hAnsi="Calibri" w:cs="Calibri"/>
          <w:lang w:val="en-GB"/>
        </w:rPr>
        <w:t>a system</w:t>
      </w:r>
      <w:r w:rsidR="64C80E31" w:rsidRPr="005053C3">
        <w:rPr>
          <w:rFonts w:ascii="Calibri" w:eastAsia="Calibri" w:hAnsi="Calibri" w:cs="Calibri"/>
          <w:lang w:val="en-GB"/>
        </w:rPr>
        <w:t xml:space="preserve"> </w:t>
      </w:r>
      <w:r w:rsidR="59FB7C53" w:rsidRPr="005053C3">
        <w:rPr>
          <w:rFonts w:ascii="Calibri" w:eastAsia="Calibri" w:hAnsi="Calibri" w:cs="Calibri"/>
          <w:lang w:val="en-GB"/>
        </w:rPr>
        <w:t>to manage</w:t>
      </w:r>
      <w:r w:rsidR="5726EC80" w:rsidRPr="005053C3">
        <w:rPr>
          <w:rFonts w:ascii="Calibri" w:eastAsia="Calibri" w:hAnsi="Calibri" w:cs="Calibri"/>
          <w:lang w:val="en-GB"/>
        </w:rPr>
        <w:t xml:space="preserve"> questions and complaints from providers</w:t>
      </w:r>
      <w:r w:rsidR="009730C4">
        <w:rPr>
          <w:rStyle w:val="FootnoteReference"/>
          <w:rFonts w:ascii="Calibri" w:eastAsia="Calibri" w:hAnsi="Calibri" w:cs="Calibri"/>
          <w:lang w:val="en-GB"/>
        </w:rPr>
        <w:footnoteReference w:id="8"/>
      </w:r>
      <w:r w:rsidR="5726EC80" w:rsidRPr="005053C3">
        <w:rPr>
          <w:rFonts w:ascii="Calibri" w:eastAsia="Calibri" w:hAnsi="Calibri" w:cs="Calibri"/>
          <w:lang w:val="en-GB"/>
        </w:rPr>
        <w:t>.</w:t>
      </w:r>
    </w:p>
    <w:p w14:paraId="43844E10" w14:textId="77777777" w:rsidR="009730C4" w:rsidRPr="005053C3" w:rsidRDefault="009730C4" w:rsidP="002E590D">
      <w:pPr>
        <w:spacing w:after="0" w:line="240" w:lineRule="auto"/>
        <w:jc w:val="both"/>
        <w:rPr>
          <w:rFonts w:ascii="Calibri" w:eastAsia="Calibri" w:hAnsi="Calibri" w:cs="Calibri"/>
          <w:lang w:val="en-GB"/>
        </w:rPr>
      </w:pPr>
    </w:p>
    <w:p w14:paraId="33F44D4E" w14:textId="49152A5E" w:rsidR="4AA9BE55" w:rsidRDefault="4AA9BE55" w:rsidP="002E590D">
      <w:pPr>
        <w:spacing w:after="0" w:line="240" w:lineRule="auto"/>
        <w:jc w:val="both"/>
        <w:rPr>
          <w:rFonts w:ascii="Calibri" w:eastAsia="Calibri" w:hAnsi="Calibri" w:cs="Calibri"/>
          <w:lang w:val="en-GB"/>
        </w:rPr>
      </w:pPr>
      <w:r w:rsidRPr="005053C3">
        <w:rPr>
          <w:rFonts w:ascii="Calibri" w:eastAsia="Calibri" w:hAnsi="Calibri" w:cs="Calibri"/>
          <w:lang w:val="en-GB"/>
        </w:rPr>
        <w:t xml:space="preserve">On the other hand, </w:t>
      </w:r>
      <w:r w:rsidR="3F09CBCC" w:rsidRPr="005053C3">
        <w:rPr>
          <w:rFonts w:ascii="Calibri" w:eastAsia="Calibri" w:hAnsi="Calibri" w:cs="Calibri"/>
          <w:lang w:val="en-GB"/>
        </w:rPr>
        <w:t xml:space="preserve">open </w:t>
      </w:r>
      <w:r w:rsidRPr="005053C3">
        <w:rPr>
          <w:rFonts w:ascii="Calibri" w:eastAsia="Calibri" w:hAnsi="Calibri" w:cs="Calibri"/>
          <w:lang w:val="en-GB"/>
        </w:rPr>
        <w:t>enrolment allow</w:t>
      </w:r>
      <w:r w:rsidR="7D73EDDF" w:rsidRPr="005053C3">
        <w:rPr>
          <w:rFonts w:ascii="Calibri" w:eastAsia="Calibri" w:hAnsi="Calibri" w:cs="Calibri"/>
          <w:lang w:val="en-GB"/>
        </w:rPr>
        <w:t>s</w:t>
      </w:r>
      <w:r w:rsidRPr="005053C3">
        <w:rPr>
          <w:rFonts w:ascii="Calibri" w:eastAsia="Calibri" w:hAnsi="Calibri" w:cs="Calibri"/>
          <w:lang w:val="en-GB"/>
        </w:rPr>
        <w:t xml:space="preserve"> individuals to choose their PHC practice for a fixed period. </w:t>
      </w:r>
      <w:r w:rsidR="5D2CCCA2" w:rsidRPr="005053C3">
        <w:rPr>
          <w:rFonts w:ascii="Calibri" w:eastAsia="Calibri" w:hAnsi="Calibri" w:cs="Calibri"/>
          <w:lang w:val="en-GB"/>
        </w:rPr>
        <w:t>In this case a</w:t>
      </w:r>
      <w:r w:rsidRPr="005053C3">
        <w:rPr>
          <w:rFonts w:ascii="Calibri" w:eastAsia="Calibri" w:hAnsi="Calibri" w:cs="Calibri"/>
          <w:lang w:val="en-GB"/>
        </w:rPr>
        <w:t xml:space="preserve"> system is needed to </w:t>
      </w:r>
      <w:r w:rsidR="154FB9AE" w:rsidRPr="005053C3">
        <w:rPr>
          <w:rFonts w:ascii="Calibri" w:eastAsia="Calibri" w:hAnsi="Calibri" w:cs="Calibri"/>
          <w:lang w:val="en-GB"/>
        </w:rPr>
        <w:t>process</w:t>
      </w:r>
      <w:r w:rsidRPr="005053C3">
        <w:rPr>
          <w:rFonts w:ascii="Calibri" w:eastAsia="Calibri" w:hAnsi="Calibri" w:cs="Calibri"/>
          <w:lang w:val="en-GB"/>
        </w:rPr>
        <w:t xml:space="preserve"> open enrolment registration and to establish, maintain, and update the individual enrolment database after each enrolment registration period. The World Bank and USAID (2009) identify three basic steps for the open </w:t>
      </w:r>
      <w:r w:rsidR="1A832185" w:rsidRPr="005053C3">
        <w:rPr>
          <w:rFonts w:ascii="Calibri" w:eastAsia="Calibri" w:hAnsi="Calibri" w:cs="Calibri"/>
          <w:lang w:val="en-GB"/>
        </w:rPr>
        <w:t>enrolment</w:t>
      </w:r>
      <w:r w:rsidRPr="005053C3">
        <w:rPr>
          <w:rFonts w:ascii="Calibri" w:eastAsia="Calibri" w:hAnsi="Calibri" w:cs="Calibri"/>
          <w:lang w:val="en-GB"/>
        </w:rPr>
        <w:t xml:space="preserve"> process: information campaign, open </w:t>
      </w:r>
      <w:r w:rsidR="00F0E560" w:rsidRPr="005053C3">
        <w:rPr>
          <w:rFonts w:ascii="Calibri" w:eastAsia="Calibri" w:hAnsi="Calibri" w:cs="Calibri"/>
          <w:lang w:val="en-GB"/>
        </w:rPr>
        <w:t>enrolment</w:t>
      </w:r>
      <w:r w:rsidRPr="005053C3">
        <w:rPr>
          <w:rFonts w:ascii="Calibri" w:eastAsia="Calibri" w:hAnsi="Calibri" w:cs="Calibri"/>
          <w:lang w:val="en-GB"/>
        </w:rPr>
        <w:t xml:space="preserve"> registration period, and data entry and verification. They also identify the following key areas to assure credibility: length of </w:t>
      </w:r>
      <w:r w:rsidR="000455A7" w:rsidRPr="005053C3">
        <w:rPr>
          <w:rFonts w:ascii="Calibri" w:eastAsia="Calibri" w:hAnsi="Calibri" w:cs="Calibri"/>
          <w:lang w:val="en-GB"/>
        </w:rPr>
        <w:t>enrolment</w:t>
      </w:r>
      <w:r w:rsidRPr="005053C3">
        <w:rPr>
          <w:rFonts w:ascii="Calibri" w:eastAsia="Calibri" w:hAnsi="Calibri" w:cs="Calibri"/>
          <w:lang w:val="en-GB"/>
        </w:rPr>
        <w:t xml:space="preserve"> period; </w:t>
      </w:r>
      <w:r w:rsidR="0534F959" w:rsidRPr="005053C3">
        <w:rPr>
          <w:rFonts w:ascii="Calibri" w:eastAsia="Calibri" w:hAnsi="Calibri" w:cs="Calibri"/>
          <w:lang w:val="en-GB"/>
        </w:rPr>
        <w:t>enrolees</w:t>
      </w:r>
      <w:r w:rsidRPr="005053C3">
        <w:rPr>
          <w:rFonts w:ascii="Calibri" w:eastAsia="Calibri" w:hAnsi="Calibri" w:cs="Calibri"/>
          <w:lang w:val="en-GB"/>
        </w:rPr>
        <w:t xml:space="preserve"> per provider; assignment to providers of unenrolled individuals; process for changing provider before end of </w:t>
      </w:r>
      <w:r w:rsidR="267387BF" w:rsidRPr="005053C3">
        <w:rPr>
          <w:rFonts w:ascii="Calibri" w:eastAsia="Calibri" w:hAnsi="Calibri" w:cs="Calibri"/>
          <w:lang w:val="en-GB"/>
        </w:rPr>
        <w:t>enrolment</w:t>
      </w:r>
      <w:r w:rsidRPr="005053C3">
        <w:rPr>
          <w:rFonts w:ascii="Calibri" w:eastAsia="Calibri" w:hAnsi="Calibri" w:cs="Calibri"/>
          <w:lang w:val="en-GB"/>
        </w:rPr>
        <w:t xml:space="preserve"> period;</w:t>
      </w:r>
      <w:r w:rsidR="54272368" w:rsidRPr="005053C3">
        <w:rPr>
          <w:rFonts w:ascii="Calibri" w:eastAsia="Calibri" w:hAnsi="Calibri" w:cs="Calibri"/>
          <w:lang w:val="en-GB"/>
        </w:rPr>
        <w:t xml:space="preserve"> </w:t>
      </w:r>
      <w:r w:rsidRPr="005053C3">
        <w:rPr>
          <w:rFonts w:ascii="Calibri" w:eastAsia="Calibri" w:hAnsi="Calibri" w:cs="Calibri"/>
          <w:lang w:val="en-GB"/>
        </w:rPr>
        <w:t xml:space="preserve">timing of open </w:t>
      </w:r>
      <w:r w:rsidR="3300D4F8" w:rsidRPr="005053C3">
        <w:rPr>
          <w:rFonts w:ascii="Calibri" w:eastAsia="Calibri" w:hAnsi="Calibri" w:cs="Calibri"/>
          <w:lang w:val="en-GB"/>
        </w:rPr>
        <w:t>enrolment</w:t>
      </w:r>
      <w:r w:rsidR="211DE0C4" w:rsidRPr="005053C3">
        <w:rPr>
          <w:rFonts w:ascii="Calibri" w:eastAsia="Calibri" w:hAnsi="Calibri" w:cs="Calibri"/>
          <w:lang w:val="en-GB"/>
        </w:rPr>
        <w:t>;</w:t>
      </w:r>
      <w:r w:rsidRPr="005053C3">
        <w:rPr>
          <w:rFonts w:ascii="Calibri" w:eastAsia="Calibri" w:hAnsi="Calibri" w:cs="Calibri"/>
          <w:lang w:val="en-GB"/>
        </w:rPr>
        <w:t xml:space="preserve"> and updating of provider per capita budgets.</w:t>
      </w:r>
      <w:r w:rsidR="004115AB">
        <w:rPr>
          <w:rStyle w:val="FootnoteReference"/>
          <w:rFonts w:ascii="Calibri" w:eastAsia="Calibri" w:hAnsi="Calibri" w:cs="Calibri"/>
          <w:lang w:val="en-GB"/>
        </w:rPr>
        <w:footnoteReference w:id="9"/>
      </w:r>
      <w:r w:rsidR="0099257B">
        <w:rPr>
          <w:rFonts w:ascii="Calibri" w:eastAsia="Calibri" w:hAnsi="Calibri" w:cs="Calibri"/>
          <w:lang w:val="en-GB"/>
        </w:rPr>
        <w:t xml:space="preserve"> </w:t>
      </w:r>
      <w:r w:rsidR="00EC1699">
        <w:rPr>
          <w:rFonts w:ascii="Calibri" w:eastAsia="Calibri" w:hAnsi="Calibri" w:cs="Calibri"/>
          <w:lang w:val="en-GB"/>
        </w:rPr>
        <w:t>Th</w:t>
      </w:r>
      <w:r w:rsidR="00872242">
        <w:rPr>
          <w:rFonts w:ascii="Calibri" w:eastAsia="Calibri" w:hAnsi="Calibri" w:cs="Calibri"/>
          <w:lang w:val="en-GB"/>
        </w:rPr>
        <w:t>is enrolment process may need to be followed for patients</w:t>
      </w:r>
      <w:r w:rsidR="00996F92">
        <w:rPr>
          <w:rFonts w:ascii="Calibri" w:eastAsia="Calibri" w:hAnsi="Calibri" w:cs="Calibri"/>
          <w:lang w:val="en-GB"/>
        </w:rPr>
        <w:t xml:space="preserve"> who have not been enrolled to the universal healthcare program jest.</w:t>
      </w:r>
    </w:p>
    <w:p w14:paraId="4C072420" w14:textId="77777777" w:rsidR="009730C4" w:rsidRPr="005053C3" w:rsidRDefault="009730C4" w:rsidP="002E590D">
      <w:pPr>
        <w:spacing w:after="0" w:line="240" w:lineRule="auto"/>
        <w:jc w:val="both"/>
        <w:rPr>
          <w:rFonts w:ascii="Calibri" w:eastAsia="Calibri" w:hAnsi="Calibri" w:cs="Calibri"/>
          <w:lang w:val="en-GB"/>
        </w:rPr>
      </w:pPr>
    </w:p>
    <w:p w14:paraId="75AC38E9" w14:textId="4901C082" w:rsidR="35CF6DEA" w:rsidRDefault="55E67E40" w:rsidP="002E590D">
      <w:pPr>
        <w:spacing w:after="0" w:line="240" w:lineRule="auto"/>
        <w:jc w:val="both"/>
        <w:rPr>
          <w:lang w:val="en-GB"/>
        </w:rPr>
      </w:pPr>
      <w:r w:rsidRPr="005053C3">
        <w:rPr>
          <w:lang w:val="en-GB"/>
        </w:rPr>
        <w:t>In the beginning, and especially when electronic data is limited, the capitation model should be</w:t>
      </w:r>
      <w:r w:rsidR="6787FD1E" w:rsidRPr="005053C3">
        <w:rPr>
          <w:lang w:val="en-GB"/>
        </w:rPr>
        <w:t xml:space="preserve"> simple</w:t>
      </w:r>
      <w:r w:rsidR="1A503521" w:rsidRPr="005053C3">
        <w:rPr>
          <w:lang w:val="en-GB"/>
        </w:rPr>
        <w:t>,</w:t>
      </w:r>
      <w:r w:rsidR="478BA102" w:rsidRPr="005053C3">
        <w:rPr>
          <w:lang w:val="en-GB"/>
        </w:rPr>
        <w:t xml:space="preserve"> </w:t>
      </w:r>
      <w:r w:rsidR="3989E0AF" w:rsidRPr="005053C3">
        <w:rPr>
          <w:lang w:val="en-GB"/>
        </w:rPr>
        <w:t>transparent</w:t>
      </w:r>
      <w:r w:rsidR="4DED8E7C" w:rsidRPr="005053C3">
        <w:rPr>
          <w:lang w:val="en-GB"/>
        </w:rPr>
        <w:t xml:space="preserve"> and easy to administer</w:t>
      </w:r>
      <w:r w:rsidR="25CEAB20" w:rsidRPr="005053C3">
        <w:rPr>
          <w:lang w:val="en-GB"/>
        </w:rPr>
        <w:t>.</w:t>
      </w:r>
      <w:r w:rsidR="66E81ECE" w:rsidRPr="005053C3">
        <w:rPr>
          <w:lang w:val="en-GB"/>
        </w:rPr>
        <w:t xml:space="preserve"> </w:t>
      </w:r>
      <w:r w:rsidR="40A5E03D" w:rsidRPr="005053C3">
        <w:rPr>
          <w:lang w:val="en-GB"/>
        </w:rPr>
        <w:t>This requires a</w:t>
      </w:r>
      <w:r w:rsidR="732A8440" w:rsidRPr="005053C3">
        <w:rPr>
          <w:lang w:val="en-GB"/>
        </w:rPr>
        <w:t xml:space="preserve"> system for transferring and accounting for advance payments. P</w:t>
      </w:r>
      <w:r w:rsidR="4F7F18D7" w:rsidRPr="005053C3">
        <w:rPr>
          <w:lang w:val="en-GB"/>
        </w:rPr>
        <w:t xml:space="preserve">aying providers in advance for basic capitation can help reduce the high financial risk </w:t>
      </w:r>
      <w:r w:rsidR="00C50D54" w:rsidRPr="005053C3">
        <w:rPr>
          <w:lang w:val="en-GB"/>
        </w:rPr>
        <w:t>the providers</w:t>
      </w:r>
      <w:r w:rsidR="2C684815" w:rsidRPr="005053C3">
        <w:rPr>
          <w:lang w:val="en-GB"/>
        </w:rPr>
        <w:t xml:space="preserve"> </w:t>
      </w:r>
      <w:r w:rsidR="4F7F18D7" w:rsidRPr="005053C3">
        <w:rPr>
          <w:lang w:val="en-GB"/>
        </w:rPr>
        <w:t>currently face</w:t>
      </w:r>
      <w:r w:rsidR="41AE0AC8" w:rsidRPr="005053C3">
        <w:rPr>
          <w:lang w:val="en-GB"/>
        </w:rPr>
        <w:t xml:space="preserve"> as a result of underfinancing of the health system</w:t>
      </w:r>
      <w:r w:rsidR="2EE25205" w:rsidRPr="005053C3">
        <w:rPr>
          <w:lang w:val="en-GB"/>
        </w:rPr>
        <w:t xml:space="preserve">. </w:t>
      </w:r>
      <w:r w:rsidR="3258FBD1" w:rsidRPr="005053C3">
        <w:rPr>
          <w:lang w:val="en-GB"/>
        </w:rPr>
        <w:t>The addition of</w:t>
      </w:r>
      <w:r w:rsidR="5BBCD9A6" w:rsidRPr="005053C3">
        <w:rPr>
          <w:lang w:val="en-GB"/>
        </w:rPr>
        <w:t xml:space="preserve"> </w:t>
      </w:r>
      <w:r w:rsidR="6787FD1E" w:rsidRPr="005053C3">
        <w:rPr>
          <w:lang w:val="en-GB"/>
        </w:rPr>
        <w:t>add</w:t>
      </w:r>
      <w:r w:rsidR="2CD5C840" w:rsidRPr="005053C3">
        <w:rPr>
          <w:lang w:val="en-GB"/>
        </w:rPr>
        <w:t>-</w:t>
      </w:r>
      <w:r w:rsidR="6787FD1E" w:rsidRPr="005053C3">
        <w:rPr>
          <w:lang w:val="en-GB"/>
        </w:rPr>
        <w:t>on payment</w:t>
      </w:r>
      <w:r w:rsidR="4E30CDBF" w:rsidRPr="005053C3">
        <w:rPr>
          <w:lang w:val="en-GB"/>
        </w:rPr>
        <w:t>s</w:t>
      </w:r>
      <w:r w:rsidR="6787FD1E" w:rsidRPr="005053C3">
        <w:rPr>
          <w:lang w:val="en-GB"/>
        </w:rPr>
        <w:t xml:space="preserve"> to the basic capitation</w:t>
      </w:r>
      <w:r w:rsidR="3DCF2F7B" w:rsidRPr="005053C3">
        <w:rPr>
          <w:lang w:val="en-GB"/>
        </w:rPr>
        <w:t xml:space="preserve"> can serve as an</w:t>
      </w:r>
      <w:r w:rsidR="61A06637" w:rsidRPr="005053C3">
        <w:rPr>
          <w:lang w:val="en-GB"/>
        </w:rPr>
        <w:t xml:space="preserve"> incentive </w:t>
      </w:r>
      <w:r w:rsidR="2E5E9A00" w:rsidRPr="005053C3">
        <w:rPr>
          <w:lang w:val="en-GB"/>
        </w:rPr>
        <w:t>f</w:t>
      </w:r>
      <w:r w:rsidR="61A06637" w:rsidRPr="005053C3">
        <w:rPr>
          <w:lang w:val="en-GB"/>
        </w:rPr>
        <w:t>o</w:t>
      </w:r>
      <w:r w:rsidR="2E5E9A00" w:rsidRPr="005053C3">
        <w:rPr>
          <w:lang w:val="en-GB"/>
        </w:rPr>
        <w:t>r</w:t>
      </w:r>
      <w:r w:rsidR="40E1F5FE" w:rsidRPr="005053C3">
        <w:rPr>
          <w:lang w:val="en-GB"/>
        </w:rPr>
        <w:t xml:space="preserve"> FDs to</w:t>
      </w:r>
      <w:r w:rsidR="61A06637" w:rsidRPr="005053C3">
        <w:rPr>
          <w:lang w:val="en-GB"/>
        </w:rPr>
        <w:t xml:space="preserve"> provide</w:t>
      </w:r>
      <w:r w:rsidR="4142EFFA" w:rsidRPr="005053C3">
        <w:rPr>
          <w:lang w:val="en-GB"/>
        </w:rPr>
        <w:t xml:space="preserve"> more</w:t>
      </w:r>
      <w:r w:rsidR="61A06637" w:rsidRPr="005053C3">
        <w:rPr>
          <w:lang w:val="en-GB"/>
        </w:rPr>
        <w:t xml:space="preserve"> services</w:t>
      </w:r>
      <w:r w:rsidR="6787FD1E" w:rsidRPr="005053C3">
        <w:rPr>
          <w:lang w:val="en-GB"/>
        </w:rPr>
        <w:t xml:space="preserve"> </w:t>
      </w:r>
      <w:r w:rsidR="59B0DADE" w:rsidRPr="005053C3">
        <w:rPr>
          <w:lang w:val="en-GB"/>
        </w:rPr>
        <w:t>at the</w:t>
      </w:r>
      <w:r w:rsidR="6787FD1E" w:rsidRPr="005053C3">
        <w:rPr>
          <w:lang w:val="en-GB"/>
        </w:rPr>
        <w:t xml:space="preserve"> PHC level</w:t>
      </w:r>
      <w:r w:rsidR="00989682" w:rsidRPr="005053C3">
        <w:rPr>
          <w:lang w:val="en-GB"/>
        </w:rPr>
        <w:t xml:space="preserve"> </w:t>
      </w:r>
      <w:r w:rsidR="6CFDF6D0" w:rsidRPr="005053C3">
        <w:rPr>
          <w:lang w:val="en-GB"/>
        </w:rPr>
        <w:t>thereby</w:t>
      </w:r>
      <w:r w:rsidR="00989682" w:rsidRPr="005053C3">
        <w:rPr>
          <w:lang w:val="en-GB"/>
        </w:rPr>
        <w:t xml:space="preserve"> </w:t>
      </w:r>
      <w:r w:rsidR="04604779" w:rsidRPr="005053C3">
        <w:rPr>
          <w:lang w:val="en-GB"/>
        </w:rPr>
        <w:t xml:space="preserve">negating </w:t>
      </w:r>
      <w:r w:rsidR="418FD002" w:rsidRPr="005053C3">
        <w:rPr>
          <w:lang w:val="en-GB"/>
        </w:rPr>
        <w:t>the</w:t>
      </w:r>
      <w:r w:rsidR="00989682" w:rsidRPr="005053C3">
        <w:rPr>
          <w:lang w:val="en-GB"/>
        </w:rPr>
        <w:t xml:space="preserve"> </w:t>
      </w:r>
      <w:r w:rsidR="78A05660" w:rsidRPr="005053C3">
        <w:rPr>
          <w:lang w:val="en-GB"/>
        </w:rPr>
        <w:t>current incentive</w:t>
      </w:r>
      <w:r w:rsidR="28D82118" w:rsidRPr="005053C3">
        <w:rPr>
          <w:lang w:val="en-GB"/>
        </w:rPr>
        <w:t xml:space="preserve"> </w:t>
      </w:r>
      <w:r w:rsidR="0C4A28F0" w:rsidRPr="005053C3">
        <w:rPr>
          <w:lang w:val="en-GB"/>
        </w:rPr>
        <w:t xml:space="preserve">which encourages </w:t>
      </w:r>
      <w:r w:rsidR="71BFF1E6" w:rsidRPr="005053C3">
        <w:rPr>
          <w:lang w:val="en-GB"/>
        </w:rPr>
        <w:t>high rates of referral</w:t>
      </w:r>
      <w:r w:rsidR="6787FD1E" w:rsidRPr="005053C3">
        <w:rPr>
          <w:lang w:val="en-GB"/>
        </w:rPr>
        <w:t>.</w:t>
      </w:r>
      <w:r w:rsidR="18D95804" w:rsidRPr="005053C3">
        <w:rPr>
          <w:lang w:val="en-GB"/>
        </w:rPr>
        <w:t xml:space="preserve"> </w:t>
      </w:r>
      <w:r w:rsidR="3939C7F7" w:rsidRPr="005053C3">
        <w:rPr>
          <w:lang w:val="en-GB"/>
        </w:rPr>
        <w:t>While recommended,</w:t>
      </w:r>
      <w:r w:rsidR="3F518C5A" w:rsidRPr="005053C3">
        <w:rPr>
          <w:lang w:val="en-GB"/>
        </w:rPr>
        <w:t xml:space="preserve"> paying providers in </w:t>
      </w:r>
      <w:r w:rsidR="6B15988C" w:rsidRPr="005053C3">
        <w:rPr>
          <w:lang w:val="en-GB"/>
        </w:rPr>
        <w:t>advance may</w:t>
      </w:r>
      <w:r w:rsidR="3F81C817" w:rsidRPr="005053C3">
        <w:rPr>
          <w:lang w:val="en-GB"/>
        </w:rPr>
        <w:t xml:space="preserve"> still</w:t>
      </w:r>
      <w:r w:rsidR="5912ED14" w:rsidRPr="005053C3">
        <w:rPr>
          <w:lang w:val="en-GB"/>
        </w:rPr>
        <w:t xml:space="preserve"> </w:t>
      </w:r>
      <w:r w:rsidR="3F518C5A" w:rsidRPr="005053C3">
        <w:rPr>
          <w:lang w:val="en-GB"/>
        </w:rPr>
        <w:t>lead to under provision of necessary services or over referral</w:t>
      </w:r>
      <w:r w:rsidR="0F9B4B7E" w:rsidRPr="005053C3">
        <w:rPr>
          <w:lang w:val="en-GB"/>
        </w:rPr>
        <w:t xml:space="preserve"> if not </w:t>
      </w:r>
      <w:r w:rsidR="42452634" w:rsidRPr="005053C3">
        <w:rPr>
          <w:lang w:val="en-GB"/>
        </w:rPr>
        <w:t>properly</w:t>
      </w:r>
      <w:r w:rsidR="0F9B4B7E" w:rsidRPr="005053C3">
        <w:rPr>
          <w:lang w:val="en-GB"/>
        </w:rPr>
        <w:t xml:space="preserve"> managed</w:t>
      </w:r>
      <w:r w:rsidR="4F455D4A" w:rsidRPr="005053C3">
        <w:rPr>
          <w:lang w:val="en-GB"/>
        </w:rPr>
        <w:t>.</w:t>
      </w:r>
      <w:r w:rsidR="5912ED14" w:rsidRPr="005053C3">
        <w:rPr>
          <w:lang w:val="en-GB"/>
        </w:rPr>
        <w:t xml:space="preserve"> </w:t>
      </w:r>
    </w:p>
    <w:p w14:paraId="63430FBE" w14:textId="77777777" w:rsidR="009730C4" w:rsidRPr="005053C3" w:rsidRDefault="009730C4" w:rsidP="002E590D">
      <w:pPr>
        <w:spacing w:after="0" w:line="240" w:lineRule="auto"/>
        <w:jc w:val="both"/>
        <w:rPr>
          <w:lang w:val="en-GB"/>
        </w:rPr>
      </w:pPr>
    </w:p>
    <w:p w14:paraId="3E9B5F53" w14:textId="76731AD6" w:rsidR="008B13D4" w:rsidRDefault="32A1E983" w:rsidP="002E590D">
      <w:pPr>
        <w:tabs>
          <w:tab w:val="left" w:pos="1155"/>
        </w:tabs>
        <w:spacing w:after="0" w:line="240" w:lineRule="auto"/>
        <w:jc w:val="both"/>
        <w:rPr>
          <w:lang w:val="en-GB"/>
        </w:rPr>
      </w:pPr>
      <w:r w:rsidRPr="005053C3">
        <w:rPr>
          <w:lang w:val="en-GB"/>
        </w:rPr>
        <w:t>Payments</w:t>
      </w:r>
      <w:r w:rsidR="00435CBE" w:rsidRPr="005053C3">
        <w:rPr>
          <w:lang w:val="en-GB"/>
        </w:rPr>
        <w:t xml:space="preserve"> for the </w:t>
      </w:r>
      <w:r w:rsidR="66E5B2D5" w:rsidRPr="005053C3">
        <w:rPr>
          <w:lang w:val="en-GB"/>
        </w:rPr>
        <w:t xml:space="preserve">basic </w:t>
      </w:r>
      <w:r w:rsidR="008B6627" w:rsidRPr="005053C3">
        <w:rPr>
          <w:lang w:val="en-GB"/>
        </w:rPr>
        <w:t>capitation</w:t>
      </w:r>
      <w:r w:rsidR="00435CBE" w:rsidRPr="005053C3">
        <w:rPr>
          <w:lang w:val="en-GB"/>
        </w:rPr>
        <w:t xml:space="preserve"> </w:t>
      </w:r>
      <w:r w:rsidR="00787E1E">
        <w:rPr>
          <w:lang w:val="en-GB"/>
        </w:rPr>
        <w:t>for urban providers can</w:t>
      </w:r>
      <w:r w:rsidR="00787E1E" w:rsidRPr="005053C3">
        <w:rPr>
          <w:lang w:val="en-GB"/>
        </w:rPr>
        <w:t xml:space="preserve"> </w:t>
      </w:r>
      <w:r w:rsidR="46F4E5DF" w:rsidRPr="005053C3">
        <w:rPr>
          <w:lang w:val="en-GB"/>
        </w:rPr>
        <w:t>be dispersed in monthly instalments</w:t>
      </w:r>
      <w:r w:rsidR="00513DD9" w:rsidRPr="005053C3">
        <w:rPr>
          <w:lang w:val="en-GB"/>
        </w:rPr>
        <w:t xml:space="preserve"> according to </w:t>
      </w:r>
      <w:r w:rsidR="1589DEAA" w:rsidRPr="005053C3">
        <w:rPr>
          <w:lang w:val="en-GB"/>
        </w:rPr>
        <w:t xml:space="preserve">a </w:t>
      </w:r>
      <w:r w:rsidR="00513DD9" w:rsidRPr="005053C3">
        <w:rPr>
          <w:lang w:val="en-GB"/>
        </w:rPr>
        <w:t xml:space="preserve">defined patient list and </w:t>
      </w:r>
      <w:r w:rsidR="6A84D2E1" w:rsidRPr="005053C3">
        <w:rPr>
          <w:lang w:val="en-GB"/>
        </w:rPr>
        <w:t xml:space="preserve">facility </w:t>
      </w:r>
      <w:r w:rsidR="00513DD9" w:rsidRPr="005053C3">
        <w:rPr>
          <w:lang w:val="en-GB"/>
        </w:rPr>
        <w:t>rent/capitalisation allowance</w:t>
      </w:r>
      <w:r w:rsidR="00435CBE" w:rsidRPr="005053C3">
        <w:rPr>
          <w:lang w:val="en-GB"/>
        </w:rPr>
        <w:t xml:space="preserve"> (guaranteed payment</w:t>
      </w:r>
      <w:r w:rsidR="30C414C7" w:rsidRPr="005053C3">
        <w:rPr>
          <w:lang w:val="en-GB"/>
        </w:rPr>
        <w:t>s</w:t>
      </w:r>
      <w:r w:rsidR="00435CBE" w:rsidRPr="005053C3">
        <w:rPr>
          <w:lang w:val="en-GB"/>
        </w:rPr>
        <w:t>)</w:t>
      </w:r>
      <w:r w:rsidR="7D6E560B" w:rsidRPr="005053C3">
        <w:rPr>
          <w:lang w:val="en-GB"/>
        </w:rPr>
        <w:t xml:space="preserve"> but re-calculations (to </w:t>
      </w:r>
      <w:r w:rsidR="2E945B6B" w:rsidRPr="005053C3">
        <w:rPr>
          <w:lang w:val="en-GB"/>
        </w:rPr>
        <w:t xml:space="preserve">account for </w:t>
      </w:r>
      <w:r w:rsidR="7D6E560B" w:rsidRPr="005053C3">
        <w:rPr>
          <w:lang w:val="en-GB"/>
        </w:rPr>
        <w:t xml:space="preserve">changes in </w:t>
      </w:r>
      <w:r w:rsidR="0AD83B6D" w:rsidRPr="005053C3">
        <w:rPr>
          <w:lang w:val="en-GB"/>
        </w:rPr>
        <w:t>enrolment</w:t>
      </w:r>
      <w:r w:rsidR="7D6E560B" w:rsidRPr="005053C3">
        <w:rPr>
          <w:lang w:val="en-GB"/>
        </w:rPr>
        <w:t xml:space="preserve">) </w:t>
      </w:r>
      <w:r w:rsidR="77665945" w:rsidRPr="005053C3">
        <w:rPr>
          <w:lang w:val="en-GB"/>
        </w:rPr>
        <w:t xml:space="preserve">are needed </w:t>
      </w:r>
      <w:r w:rsidR="008B6627" w:rsidRPr="005053C3">
        <w:rPr>
          <w:lang w:val="en-GB"/>
        </w:rPr>
        <w:t>quarterly or</w:t>
      </w:r>
      <w:r w:rsidR="00435CBE" w:rsidRPr="005053C3">
        <w:rPr>
          <w:lang w:val="en-GB"/>
        </w:rPr>
        <w:t xml:space="preserve"> semi-annually</w:t>
      </w:r>
      <w:r w:rsidR="008B6627" w:rsidRPr="005053C3">
        <w:rPr>
          <w:lang w:val="en-GB"/>
        </w:rPr>
        <w:t xml:space="preserve">. </w:t>
      </w:r>
      <w:r w:rsidR="008B13D4">
        <w:rPr>
          <w:lang w:val="en-GB"/>
        </w:rPr>
        <w:t xml:space="preserve">Payments for urban providers can </w:t>
      </w:r>
      <w:r w:rsidR="008B13D4" w:rsidRPr="008B13D4">
        <w:rPr>
          <w:lang w:val="en-GB"/>
        </w:rPr>
        <w:t xml:space="preserve">be dispersed </w:t>
      </w:r>
      <w:r w:rsidR="008B13D4">
        <w:rPr>
          <w:lang w:val="en-GB"/>
        </w:rPr>
        <w:t>also as</w:t>
      </w:r>
      <w:r w:rsidR="008B13D4" w:rsidRPr="008B13D4">
        <w:rPr>
          <w:lang w:val="en-GB"/>
        </w:rPr>
        <w:t xml:space="preserve"> monthly instalments</w:t>
      </w:r>
      <w:r w:rsidR="008643EB">
        <w:rPr>
          <w:lang w:val="en-GB"/>
        </w:rPr>
        <w:t xml:space="preserve"> for the total lump</w:t>
      </w:r>
      <w:r w:rsidR="000103B0">
        <w:rPr>
          <w:lang w:val="en-GB"/>
        </w:rPr>
        <w:t>-</w:t>
      </w:r>
      <w:r w:rsidR="008643EB">
        <w:rPr>
          <w:lang w:val="en-GB"/>
        </w:rPr>
        <w:t>sum.</w:t>
      </w:r>
    </w:p>
    <w:p w14:paraId="38D97928" w14:textId="77777777" w:rsidR="000103B0" w:rsidRPr="005053C3" w:rsidRDefault="000103B0" w:rsidP="002E590D">
      <w:pPr>
        <w:tabs>
          <w:tab w:val="left" w:pos="1155"/>
        </w:tabs>
        <w:spacing w:after="0" w:line="240" w:lineRule="auto"/>
        <w:jc w:val="both"/>
        <w:rPr>
          <w:lang w:val="en-GB"/>
        </w:rPr>
      </w:pPr>
    </w:p>
    <w:p w14:paraId="51D1FC9F" w14:textId="0A09BF4A" w:rsidR="006243B9" w:rsidRDefault="533899CA" w:rsidP="002E590D">
      <w:pPr>
        <w:tabs>
          <w:tab w:val="left" w:pos="1155"/>
        </w:tabs>
        <w:spacing w:after="0" w:line="240" w:lineRule="auto"/>
        <w:jc w:val="both"/>
        <w:rPr>
          <w:lang w:val="en-GB"/>
        </w:rPr>
      </w:pPr>
      <w:r w:rsidRPr="005053C3">
        <w:rPr>
          <w:lang w:val="en-GB"/>
        </w:rPr>
        <w:t>Add-on payments for</w:t>
      </w:r>
      <w:r w:rsidR="00513DD9" w:rsidRPr="005053C3">
        <w:rPr>
          <w:lang w:val="en-GB"/>
        </w:rPr>
        <w:t xml:space="preserve"> priority services</w:t>
      </w:r>
      <w:r w:rsidR="56C6E382" w:rsidRPr="005053C3">
        <w:rPr>
          <w:lang w:val="en-GB"/>
        </w:rPr>
        <w:t xml:space="preserve"> are determined by patient data</w:t>
      </w:r>
      <w:r w:rsidR="643DD0B1" w:rsidRPr="005053C3">
        <w:rPr>
          <w:lang w:val="en-GB"/>
        </w:rPr>
        <w:t>.</w:t>
      </w:r>
      <w:r w:rsidR="00513DD9" w:rsidRPr="005053C3">
        <w:rPr>
          <w:lang w:val="en-GB"/>
        </w:rPr>
        <w:t xml:space="preserve"> </w:t>
      </w:r>
      <w:r w:rsidR="781C0C4F" w:rsidRPr="005053C3">
        <w:rPr>
          <w:lang w:val="en-GB"/>
        </w:rPr>
        <w:t xml:space="preserve">For the child health program, </w:t>
      </w:r>
      <w:r w:rsidR="6F4137A5" w:rsidRPr="005053C3">
        <w:rPr>
          <w:lang w:val="en-GB"/>
        </w:rPr>
        <w:t xml:space="preserve">each </w:t>
      </w:r>
      <w:r w:rsidR="00513DD9" w:rsidRPr="005053C3">
        <w:rPr>
          <w:lang w:val="en-GB"/>
        </w:rPr>
        <w:t>p</w:t>
      </w:r>
      <w:r w:rsidR="08C10828" w:rsidRPr="005053C3">
        <w:rPr>
          <w:lang w:val="en-GB"/>
        </w:rPr>
        <w:t xml:space="preserve">ractice </w:t>
      </w:r>
      <w:r w:rsidR="29EFF853" w:rsidRPr="005053C3">
        <w:rPr>
          <w:lang w:val="en-GB"/>
        </w:rPr>
        <w:t xml:space="preserve">should </w:t>
      </w:r>
      <w:r w:rsidR="00513DD9" w:rsidRPr="005053C3">
        <w:rPr>
          <w:lang w:val="en-GB"/>
        </w:rPr>
        <w:t xml:space="preserve">provide data about the children in their patient list. </w:t>
      </w:r>
      <w:r w:rsidR="5E5571D2" w:rsidRPr="005053C3">
        <w:rPr>
          <w:lang w:val="en-GB"/>
        </w:rPr>
        <w:t xml:space="preserve">For NCD </w:t>
      </w:r>
      <w:r w:rsidR="7739DA2E" w:rsidRPr="005053C3">
        <w:rPr>
          <w:lang w:val="en-GB"/>
        </w:rPr>
        <w:t>add-on payments</w:t>
      </w:r>
      <w:r w:rsidR="5E5571D2" w:rsidRPr="005053C3">
        <w:rPr>
          <w:lang w:val="en-GB"/>
        </w:rPr>
        <w:t xml:space="preserve">, a national registry of diagnosed patients </w:t>
      </w:r>
      <w:r w:rsidR="3A322B6E" w:rsidRPr="005053C3">
        <w:rPr>
          <w:lang w:val="en-GB"/>
        </w:rPr>
        <w:t>must</w:t>
      </w:r>
      <w:r w:rsidR="4C1B0E59" w:rsidRPr="005053C3">
        <w:rPr>
          <w:lang w:val="en-GB"/>
        </w:rPr>
        <w:t xml:space="preserve"> be</w:t>
      </w:r>
      <w:r w:rsidR="5E5571D2" w:rsidRPr="005053C3">
        <w:rPr>
          <w:lang w:val="en-GB"/>
        </w:rPr>
        <w:t xml:space="preserve"> established along with a process </w:t>
      </w:r>
      <w:r w:rsidR="7E1C75F3" w:rsidRPr="005053C3">
        <w:rPr>
          <w:lang w:val="en-GB"/>
        </w:rPr>
        <w:t xml:space="preserve">for linking </w:t>
      </w:r>
      <w:r w:rsidR="2C34224E" w:rsidRPr="005053C3">
        <w:rPr>
          <w:lang w:val="en-GB"/>
        </w:rPr>
        <w:t xml:space="preserve">NCD </w:t>
      </w:r>
      <w:r w:rsidR="5E5571D2" w:rsidRPr="005053C3">
        <w:rPr>
          <w:lang w:val="en-GB"/>
        </w:rPr>
        <w:t xml:space="preserve">patients with </w:t>
      </w:r>
      <w:r w:rsidR="5FECF749" w:rsidRPr="005053C3">
        <w:rPr>
          <w:lang w:val="en-GB"/>
        </w:rPr>
        <w:t xml:space="preserve">a PHC provider. This </w:t>
      </w:r>
      <w:r w:rsidR="3128966A" w:rsidRPr="005053C3">
        <w:rPr>
          <w:lang w:val="en-GB"/>
        </w:rPr>
        <w:t xml:space="preserve">requires an </w:t>
      </w:r>
      <w:r w:rsidR="5FECF749" w:rsidRPr="005053C3">
        <w:rPr>
          <w:lang w:val="en-GB"/>
        </w:rPr>
        <w:t xml:space="preserve">automated </w:t>
      </w:r>
      <w:r w:rsidR="76F67D29" w:rsidRPr="005053C3">
        <w:rPr>
          <w:lang w:val="en-GB"/>
        </w:rPr>
        <w:t xml:space="preserve">system with </w:t>
      </w:r>
      <w:r w:rsidR="5FECF749" w:rsidRPr="005053C3">
        <w:rPr>
          <w:lang w:val="en-GB"/>
        </w:rPr>
        <w:t>information abo</w:t>
      </w:r>
      <w:r w:rsidR="34DE98F2" w:rsidRPr="005053C3">
        <w:rPr>
          <w:lang w:val="en-GB"/>
        </w:rPr>
        <w:t xml:space="preserve">ut NCD patients in a </w:t>
      </w:r>
      <w:r w:rsidR="10FC0CDE" w:rsidRPr="005053C3">
        <w:rPr>
          <w:lang w:val="en-GB"/>
        </w:rPr>
        <w:t>PHC provider’s</w:t>
      </w:r>
      <w:r w:rsidR="34DE98F2" w:rsidRPr="005053C3">
        <w:rPr>
          <w:lang w:val="en-GB"/>
        </w:rPr>
        <w:t xml:space="preserve"> patient list </w:t>
      </w:r>
      <w:r w:rsidR="762CD3FB" w:rsidRPr="005053C3">
        <w:rPr>
          <w:lang w:val="en-GB"/>
        </w:rPr>
        <w:t>that can</w:t>
      </w:r>
      <w:r w:rsidR="34DE98F2" w:rsidRPr="005053C3">
        <w:rPr>
          <w:lang w:val="en-GB"/>
        </w:rPr>
        <w:t xml:space="preserve"> be </w:t>
      </w:r>
      <w:r w:rsidR="28C0F0EA" w:rsidRPr="005053C3">
        <w:rPr>
          <w:lang w:val="en-GB"/>
        </w:rPr>
        <w:t>made</w:t>
      </w:r>
      <w:r w:rsidR="34DE98F2" w:rsidRPr="005053C3">
        <w:rPr>
          <w:lang w:val="en-GB"/>
        </w:rPr>
        <w:t xml:space="preserve"> available </w:t>
      </w:r>
      <w:r w:rsidR="505ABDAA" w:rsidRPr="005053C3">
        <w:rPr>
          <w:lang w:val="en-GB"/>
        </w:rPr>
        <w:t xml:space="preserve">to </w:t>
      </w:r>
      <w:r w:rsidR="34DE98F2" w:rsidRPr="005053C3">
        <w:rPr>
          <w:lang w:val="en-GB"/>
        </w:rPr>
        <w:t xml:space="preserve">the provider at the beginning of </w:t>
      </w:r>
      <w:r w:rsidR="21CC5FEF" w:rsidRPr="005053C3">
        <w:rPr>
          <w:lang w:val="en-GB"/>
        </w:rPr>
        <w:t xml:space="preserve">each </w:t>
      </w:r>
      <w:r w:rsidR="34DE98F2" w:rsidRPr="005053C3">
        <w:rPr>
          <w:lang w:val="en-GB"/>
        </w:rPr>
        <w:t>year to ensure all necessary services can be provided during the year</w:t>
      </w:r>
      <w:r w:rsidR="239282FF" w:rsidRPr="005053C3">
        <w:rPr>
          <w:lang w:val="en-GB"/>
        </w:rPr>
        <w:t>.</w:t>
      </w:r>
    </w:p>
    <w:p w14:paraId="32FC1F7F" w14:textId="77777777" w:rsidR="000103B0" w:rsidRPr="005053C3" w:rsidRDefault="000103B0" w:rsidP="002E590D">
      <w:pPr>
        <w:tabs>
          <w:tab w:val="left" w:pos="1155"/>
        </w:tabs>
        <w:spacing w:after="0" w:line="240" w:lineRule="auto"/>
        <w:jc w:val="both"/>
        <w:rPr>
          <w:lang w:val="en-GB"/>
        </w:rPr>
      </w:pPr>
    </w:p>
    <w:p w14:paraId="74468127" w14:textId="0D512C06" w:rsidR="00513DD9" w:rsidRDefault="00513DD9" w:rsidP="002E590D">
      <w:pPr>
        <w:tabs>
          <w:tab w:val="left" w:pos="1155"/>
        </w:tabs>
        <w:spacing w:after="0" w:line="240" w:lineRule="auto"/>
        <w:jc w:val="both"/>
        <w:rPr>
          <w:lang w:val="en-GB"/>
        </w:rPr>
      </w:pPr>
      <w:r w:rsidRPr="005053C3">
        <w:rPr>
          <w:lang w:val="en-GB"/>
        </w:rPr>
        <w:t xml:space="preserve">The </w:t>
      </w:r>
      <w:r w:rsidR="00C4218B" w:rsidRPr="005053C3">
        <w:rPr>
          <w:lang w:val="en-GB"/>
        </w:rPr>
        <w:t>instalments</w:t>
      </w:r>
      <w:r w:rsidR="00435CBE" w:rsidRPr="005053C3">
        <w:rPr>
          <w:lang w:val="en-GB"/>
        </w:rPr>
        <w:t xml:space="preserve"> </w:t>
      </w:r>
      <w:r w:rsidRPr="005053C3">
        <w:rPr>
          <w:lang w:val="en-GB"/>
        </w:rPr>
        <w:t>for priority services can be</w:t>
      </w:r>
      <w:r w:rsidR="00435CBE" w:rsidRPr="005053C3">
        <w:rPr>
          <w:lang w:val="en-GB"/>
        </w:rPr>
        <w:t xml:space="preserve"> done </w:t>
      </w:r>
      <w:r w:rsidR="007157FD">
        <w:rPr>
          <w:lang w:val="en-GB"/>
        </w:rPr>
        <w:t>twice</w:t>
      </w:r>
      <w:r w:rsidR="007157FD" w:rsidRPr="005053C3">
        <w:rPr>
          <w:lang w:val="en-GB"/>
        </w:rPr>
        <w:t xml:space="preserve"> </w:t>
      </w:r>
      <w:r w:rsidR="00435CBE" w:rsidRPr="005053C3">
        <w:rPr>
          <w:lang w:val="en-GB"/>
        </w:rPr>
        <w:t>in a year to reduce the administrative burden</w:t>
      </w:r>
      <w:r w:rsidRPr="005053C3">
        <w:rPr>
          <w:lang w:val="en-GB"/>
        </w:rPr>
        <w:t xml:space="preserve"> and to incentivize the providers to follow the guidelines for priority services. </w:t>
      </w:r>
      <w:r w:rsidR="00A8299E">
        <w:rPr>
          <w:lang w:val="en-GB"/>
        </w:rPr>
        <w:t>The first instalment can be linked to confirming the patient li</w:t>
      </w:r>
      <w:r w:rsidR="0016045D">
        <w:rPr>
          <w:lang w:val="en-GB"/>
        </w:rPr>
        <w:t>sts with NCDS and children up to 5 years. The second p</w:t>
      </w:r>
      <w:r w:rsidR="00435CBE" w:rsidRPr="005053C3">
        <w:rPr>
          <w:lang w:val="en-GB"/>
        </w:rPr>
        <w:t xml:space="preserve">ayment </w:t>
      </w:r>
      <w:r w:rsidR="0016045D">
        <w:rPr>
          <w:lang w:val="en-GB"/>
        </w:rPr>
        <w:t>could</w:t>
      </w:r>
      <w:r w:rsidR="0016045D" w:rsidRPr="005053C3">
        <w:rPr>
          <w:lang w:val="en-GB"/>
        </w:rPr>
        <w:t xml:space="preserve"> </w:t>
      </w:r>
      <w:r w:rsidRPr="005053C3">
        <w:rPr>
          <w:lang w:val="en-GB"/>
        </w:rPr>
        <w:t xml:space="preserve">be </w:t>
      </w:r>
      <w:r w:rsidR="25C871BA" w:rsidRPr="005053C3">
        <w:rPr>
          <w:lang w:val="en-GB"/>
        </w:rPr>
        <w:t>dispersed only when the</w:t>
      </w:r>
      <w:r w:rsidR="2B18B9E9" w:rsidRPr="005053C3">
        <w:rPr>
          <w:lang w:val="en-GB"/>
        </w:rPr>
        <w:t xml:space="preserve"> </w:t>
      </w:r>
      <w:r w:rsidRPr="005053C3">
        <w:rPr>
          <w:lang w:val="en-GB"/>
        </w:rPr>
        <w:t xml:space="preserve">provider reports </w:t>
      </w:r>
      <w:r w:rsidR="51FBCC3D" w:rsidRPr="005053C3">
        <w:rPr>
          <w:lang w:val="en-GB"/>
        </w:rPr>
        <w:t xml:space="preserve">delivery of </w:t>
      </w:r>
      <w:r w:rsidRPr="005053C3">
        <w:rPr>
          <w:lang w:val="en-GB"/>
        </w:rPr>
        <w:t>services described in the guidelines for</w:t>
      </w:r>
      <w:r w:rsidR="00C4218B" w:rsidRPr="005053C3">
        <w:rPr>
          <w:lang w:val="en-GB"/>
        </w:rPr>
        <w:t xml:space="preserve"> at least </w:t>
      </w:r>
      <w:r w:rsidR="00E55F8D" w:rsidRPr="005053C3">
        <w:rPr>
          <w:lang w:val="en-GB"/>
        </w:rPr>
        <w:t>7</w:t>
      </w:r>
      <w:r w:rsidR="00C4218B" w:rsidRPr="005053C3">
        <w:rPr>
          <w:lang w:val="en-GB"/>
        </w:rPr>
        <w:t>0% of</w:t>
      </w:r>
      <w:r w:rsidRPr="005053C3">
        <w:rPr>
          <w:lang w:val="en-GB"/>
        </w:rPr>
        <w:t xml:space="preserve"> diabetes</w:t>
      </w:r>
      <w:r w:rsidR="00C4218B" w:rsidRPr="005053C3">
        <w:rPr>
          <w:lang w:val="en-GB"/>
        </w:rPr>
        <w:t>,</w:t>
      </w:r>
      <w:r w:rsidR="00E55F8D" w:rsidRPr="005053C3">
        <w:rPr>
          <w:lang w:val="en-GB"/>
        </w:rPr>
        <w:t xml:space="preserve"> CVD and</w:t>
      </w:r>
      <w:r w:rsidR="00C4218B" w:rsidRPr="005053C3">
        <w:rPr>
          <w:lang w:val="en-GB"/>
        </w:rPr>
        <w:t xml:space="preserve"> </w:t>
      </w:r>
      <w:r w:rsidRPr="005053C3">
        <w:rPr>
          <w:lang w:val="en-GB"/>
        </w:rPr>
        <w:t>hyperten</w:t>
      </w:r>
      <w:r w:rsidR="22EAE7FE" w:rsidRPr="005053C3">
        <w:rPr>
          <w:lang w:val="en-GB"/>
        </w:rPr>
        <w:t>sion</w:t>
      </w:r>
      <w:r w:rsidR="2B4936FF" w:rsidRPr="005053C3">
        <w:rPr>
          <w:lang w:val="en-GB"/>
        </w:rPr>
        <w:t xml:space="preserve"> </w:t>
      </w:r>
      <w:r w:rsidR="00C4218B" w:rsidRPr="005053C3">
        <w:rPr>
          <w:lang w:val="en-GB"/>
        </w:rPr>
        <w:t>patients and 95% of children in the patient list.</w:t>
      </w:r>
      <w:r w:rsidR="48230977" w:rsidRPr="005053C3">
        <w:rPr>
          <w:lang w:val="en-GB"/>
        </w:rPr>
        <w:t xml:space="preserve"> Technical details of the add</w:t>
      </w:r>
      <w:r w:rsidR="3F0C6D64" w:rsidRPr="005053C3">
        <w:rPr>
          <w:lang w:val="en-GB"/>
        </w:rPr>
        <w:t>-</w:t>
      </w:r>
      <w:r w:rsidR="48230977" w:rsidRPr="005053C3">
        <w:rPr>
          <w:lang w:val="en-GB"/>
        </w:rPr>
        <w:t xml:space="preserve">on payments </w:t>
      </w:r>
      <w:r w:rsidR="0043057B">
        <w:rPr>
          <w:lang w:val="en-GB"/>
        </w:rPr>
        <w:t>would</w:t>
      </w:r>
      <w:r w:rsidR="0043057B" w:rsidRPr="005053C3">
        <w:rPr>
          <w:lang w:val="en-GB"/>
        </w:rPr>
        <w:t xml:space="preserve"> </w:t>
      </w:r>
      <w:r w:rsidR="48230977" w:rsidRPr="005053C3">
        <w:rPr>
          <w:lang w:val="en-GB"/>
        </w:rPr>
        <w:t xml:space="preserve">need to be </w:t>
      </w:r>
      <w:r w:rsidR="002E590D">
        <w:rPr>
          <w:lang w:val="en-GB"/>
        </w:rPr>
        <w:t>further</w:t>
      </w:r>
      <w:r w:rsidR="0043057B">
        <w:rPr>
          <w:lang w:val="en-GB"/>
        </w:rPr>
        <w:t xml:space="preserve"> </w:t>
      </w:r>
      <w:r w:rsidR="48230977" w:rsidRPr="005053C3">
        <w:rPr>
          <w:lang w:val="en-GB"/>
        </w:rPr>
        <w:t>defined.</w:t>
      </w:r>
    </w:p>
    <w:p w14:paraId="7E129055" w14:textId="77777777" w:rsidR="000103B0" w:rsidRPr="005053C3" w:rsidRDefault="000103B0" w:rsidP="002E590D">
      <w:pPr>
        <w:tabs>
          <w:tab w:val="left" w:pos="1155"/>
        </w:tabs>
        <w:spacing w:after="0" w:line="240" w:lineRule="auto"/>
        <w:jc w:val="both"/>
        <w:rPr>
          <w:lang w:val="en-GB"/>
        </w:rPr>
      </w:pPr>
    </w:p>
    <w:p w14:paraId="4FD5A7E2" w14:textId="293808E3" w:rsidR="00513DD9" w:rsidRDefault="6787FD1E" w:rsidP="002E590D">
      <w:pPr>
        <w:tabs>
          <w:tab w:val="left" w:pos="1155"/>
        </w:tabs>
        <w:spacing w:after="0" w:line="240" w:lineRule="auto"/>
        <w:jc w:val="both"/>
        <w:rPr>
          <w:lang w:val="en-GB"/>
        </w:rPr>
      </w:pPr>
      <w:r w:rsidRPr="005053C3">
        <w:rPr>
          <w:lang w:val="en-GB"/>
        </w:rPr>
        <w:t xml:space="preserve">Exceptions may </w:t>
      </w:r>
      <w:r w:rsidR="233E4EF5" w:rsidRPr="005053C3">
        <w:rPr>
          <w:lang w:val="en-GB"/>
        </w:rPr>
        <w:t xml:space="preserve">still </w:t>
      </w:r>
      <w:r w:rsidRPr="005053C3">
        <w:rPr>
          <w:lang w:val="en-GB"/>
        </w:rPr>
        <w:t xml:space="preserve">be needed for new PHC centres who </w:t>
      </w:r>
      <w:r w:rsidR="51B94A8B" w:rsidRPr="005053C3">
        <w:rPr>
          <w:lang w:val="en-GB"/>
        </w:rPr>
        <w:t xml:space="preserve">have </w:t>
      </w:r>
      <w:r w:rsidR="67D1119A" w:rsidRPr="005053C3">
        <w:rPr>
          <w:lang w:val="en-GB"/>
        </w:rPr>
        <w:t xml:space="preserve">changes to their </w:t>
      </w:r>
      <w:r w:rsidR="168014D2" w:rsidRPr="005053C3">
        <w:rPr>
          <w:lang w:val="en-GB"/>
        </w:rPr>
        <w:t xml:space="preserve">patient lists </w:t>
      </w:r>
      <w:r w:rsidR="01996861" w:rsidRPr="005053C3">
        <w:rPr>
          <w:lang w:val="en-GB"/>
        </w:rPr>
        <w:t>mid-</w:t>
      </w:r>
      <w:r w:rsidRPr="005053C3">
        <w:rPr>
          <w:lang w:val="en-GB"/>
        </w:rPr>
        <w:t>year.</w:t>
      </w:r>
      <w:r w:rsidR="5B4CA32D" w:rsidRPr="005053C3">
        <w:rPr>
          <w:lang w:val="en-GB"/>
        </w:rPr>
        <w:t xml:space="preserve"> A system would need to be set in place for PHC providers </w:t>
      </w:r>
      <w:r w:rsidR="4E699B76" w:rsidRPr="005053C3">
        <w:rPr>
          <w:lang w:val="en-GB"/>
        </w:rPr>
        <w:t>initiating</w:t>
      </w:r>
      <w:r w:rsidR="5B4CA32D" w:rsidRPr="005053C3">
        <w:rPr>
          <w:lang w:val="en-GB"/>
        </w:rPr>
        <w:t xml:space="preserve"> </w:t>
      </w:r>
      <w:r w:rsidR="233867FF" w:rsidRPr="005053C3">
        <w:rPr>
          <w:lang w:val="en-GB"/>
        </w:rPr>
        <w:t>services mid</w:t>
      </w:r>
      <w:r w:rsidR="6AEEEC55" w:rsidRPr="005053C3">
        <w:rPr>
          <w:lang w:val="en-GB"/>
        </w:rPr>
        <w:t>-</w:t>
      </w:r>
      <w:r w:rsidR="5B4CA32D" w:rsidRPr="005053C3">
        <w:rPr>
          <w:lang w:val="en-GB"/>
        </w:rPr>
        <w:t>year</w:t>
      </w:r>
      <w:r w:rsidR="327981B3" w:rsidRPr="005053C3">
        <w:rPr>
          <w:lang w:val="en-GB"/>
        </w:rPr>
        <w:t xml:space="preserve"> or i</w:t>
      </w:r>
      <w:r w:rsidR="50496BCD" w:rsidRPr="005053C3">
        <w:rPr>
          <w:lang w:val="en-GB"/>
        </w:rPr>
        <w:t>f the FD</w:t>
      </w:r>
      <w:r w:rsidR="327981B3" w:rsidRPr="005053C3">
        <w:rPr>
          <w:lang w:val="en-GB"/>
        </w:rPr>
        <w:t xml:space="preserve"> </w:t>
      </w:r>
      <w:r w:rsidR="53320303" w:rsidRPr="005053C3">
        <w:rPr>
          <w:lang w:val="en-GB"/>
        </w:rPr>
        <w:t>relocates</w:t>
      </w:r>
      <w:r w:rsidR="327981B3" w:rsidRPr="005053C3">
        <w:rPr>
          <w:lang w:val="en-GB"/>
        </w:rPr>
        <w:t>.</w:t>
      </w:r>
      <w:r w:rsidR="0327A7FA" w:rsidRPr="005053C3">
        <w:rPr>
          <w:lang w:val="en-GB"/>
        </w:rPr>
        <w:t xml:space="preserve"> </w:t>
      </w:r>
    </w:p>
    <w:p w14:paraId="65B9B79E" w14:textId="77777777" w:rsidR="000103B0" w:rsidRPr="005053C3" w:rsidRDefault="000103B0" w:rsidP="002E590D">
      <w:pPr>
        <w:tabs>
          <w:tab w:val="left" w:pos="1155"/>
        </w:tabs>
        <w:spacing w:after="0" w:line="240" w:lineRule="auto"/>
        <w:jc w:val="both"/>
        <w:rPr>
          <w:lang w:val="en-GB"/>
        </w:rPr>
      </w:pPr>
    </w:p>
    <w:p w14:paraId="6EE88303" w14:textId="20C6095C" w:rsidR="00C4218B" w:rsidRDefault="00C4218B" w:rsidP="002E590D">
      <w:pPr>
        <w:spacing w:after="0" w:line="240" w:lineRule="auto"/>
        <w:jc w:val="both"/>
        <w:rPr>
          <w:lang w:val="en-GB"/>
        </w:rPr>
      </w:pPr>
      <w:r w:rsidRPr="005053C3">
        <w:rPr>
          <w:lang w:val="en-GB"/>
        </w:rPr>
        <w:lastRenderedPageBreak/>
        <w:t xml:space="preserve">The </w:t>
      </w:r>
      <w:r w:rsidR="19F9B3DF" w:rsidRPr="005053C3">
        <w:rPr>
          <w:lang w:val="en-GB"/>
        </w:rPr>
        <w:t>baseline</w:t>
      </w:r>
      <w:r w:rsidRPr="005053C3">
        <w:rPr>
          <w:lang w:val="en-GB"/>
        </w:rPr>
        <w:t xml:space="preserve"> scenario does not </w:t>
      </w:r>
      <w:r w:rsidR="4FBB8FA8" w:rsidRPr="005053C3">
        <w:rPr>
          <w:lang w:val="en-GB"/>
        </w:rPr>
        <w:t xml:space="preserve">include </w:t>
      </w:r>
      <w:r w:rsidRPr="005053C3">
        <w:rPr>
          <w:lang w:val="en-GB"/>
        </w:rPr>
        <w:t>co-payments, because PHC services should be universally accessible to the whole population.</w:t>
      </w:r>
      <w:r w:rsidR="293BD211" w:rsidRPr="005053C3">
        <w:rPr>
          <w:lang w:val="en-GB"/>
        </w:rPr>
        <w:t xml:space="preserve"> </w:t>
      </w:r>
      <w:r w:rsidR="00E55F8D" w:rsidRPr="005053C3">
        <w:rPr>
          <w:lang w:val="en-GB"/>
        </w:rPr>
        <w:t>T</w:t>
      </w:r>
      <w:r w:rsidRPr="005053C3">
        <w:rPr>
          <w:lang w:val="en-GB"/>
        </w:rPr>
        <w:t>he scenario analysis</w:t>
      </w:r>
      <w:r w:rsidR="2388862D" w:rsidRPr="005053C3">
        <w:rPr>
          <w:lang w:val="en-GB"/>
        </w:rPr>
        <w:t xml:space="preserve"> </w:t>
      </w:r>
      <w:r w:rsidR="00E55F8D" w:rsidRPr="005053C3">
        <w:rPr>
          <w:lang w:val="en-GB"/>
        </w:rPr>
        <w:t xml:space="preserve">describes </w:t>
      </w:r>
      <w:r w:rsidRPr="005053C3">
        <w:rPr>
          <w:lang w:val="en-GB"/>
        </w:rPr>
        <w:t>possib</w:t>
      </w:r>
      <w:r w:rsidR="00E55F8D" w:rsidRPr="005053C3">
        <w:rPr>
          <w:lang w:val="en-GB"/>
        </w:rPr>
        <w:t>ilities</w:t>
      </w:r>
      <w:r w:rsidRPr="005053C3">
        <w:rPr>
          <w:lang w:val="en-GB"/>
        </w:rPr>
        <w:t xml:space="preserve"> to add incentives by introducing co-payments. The co-payment mechanism needs to be carefully designed to exclude vulnerable population groups</w:t>
      </w:r>
      <w:r w:rsidR="5AF4ED83" w:rsidRPr="005053C3">
        <w:rPr>
          <w:lang w:val="en-GB"/>
        </w:rPr>
        <w:t xml:space="preserve">, which means that higher capitation may need to be paid for </w:t>
      </w:r>
      <w:r w:rsidR="585AFB2D" w:rsidRPr="005053C3">
        <w:rPr>
          <w:lang w:val="en-GB"/>
        </w:rPr>
        <w:t>those groups</w:t>
      </w:r>
      <w:r w:rsidRPr="005053C3">
        <w:rPr>
          <w:lang w:val="en-GB"/>
        </w:rPr>
        <w:t>.</w:t>
      </w:r>
      <w:r w:rsidR="3E1BACD1" w:rsidRPr="005053C3">
        <w:rPr>
          <w:lang w:val="en-GB"/>
        </w:rPr>
        <w:t xml:space="preserve"> This also assumes that there is a</w:t>
      </w:r>
      <w:r w:rsidR="08F38F1E" w:rsidRPr="005053C3">
        <w:rPr>
          <w:lang w:val="en-GB"/>
        </w:rPr>
        <w:t>n automated</w:t>
      </w:r>
      <w:r w:rsidR="3E1BACD1" w:rsidRPr="005053C3">
        <w:rPr>
          <w:lang w:val="en-GB"/>
        </w:rPr>
        <w:t xml:space="preserve"> sy</w:t>
      </w:r>
      <w:r w:rsidR="6F3BE33D" w:rsidRPr="005053C3">
        <w:rPr>
          <w:lang w:val="en-GB"/>
        </w:rPr>
        <w:t>s</w:t>
      </w:r>
      <w:r w:rsidR="3E1BACD1" w:rsidRPr="005053C3">
        <w:rPr>
          <w:lang w:val="en-GB"/>
        </w:rPr>
        <w:t>tem established to define the vulnerable population in a FD</w:t>
      </w:r>
      <w:r w:rsidR="01EDD946" w:rsidRPr="005053C3">
        <w:rPr>
          <w:lang w:val="en-GB"/>
        </w:rPr>
        <w:t>’</w:t>
      </w:r>
      <w:r w:rsidR="3E1BACD1" w:rsidRPr="005053C3">
        <w:rPr>
          <w:lang w:val="en-GB"/>
        </w:rPr>
        <w:t xml:space="preserve">s patient </w:t>
      </w:r>
      <w:r w:rsidR="662D14CA" w:rsidRPr="005053C3">
        <w:rPr>
          <w:lang w:val="en-GB"/>
        </w:rPr>
        <w:t>list to</w:t>
      </w:r>
      <w:r w:rsidR="3E1BACD1" w:rsidRPr="005053C3">
        <w:rPr>
          <w:lang w:val="en-GB"/>
        </w:rPr>
        <w:t xml:space="preserve"> reduce the </w:t>
      </w:r>
      <w:r w:rsidR="4533FE46" w:rsidRPr="005053C3">
        <w:rPr>
          <w:lang w:val="en-GB"/>
        </w:rPr>
        <w:t>burden</w:t>
      </w:r>
      <w:r w:rsidR="03231E1A" w:rsidRPr="005053C3">
        <w:rPr>
          <w:lang w:val="en-GB"/>
        </w:rPr>
        <w:t xml:space="preserve"> on providers of having to track</w:t>
      </w:r>
      <w:r w:rsidR="4A3C8980" w:rsidRPr="005053C3">
        <w:rPr>
          <w:lang w:val="en-GB"/>
        </w:rPr>
        <w:t xml:space="preserve"> different capitations.</w:t>
      </w:r>
      <w:r w:rsidRPr="005053C3">
        <w:rPr>
          <w:lang w:val="en-GB"/>
        </w:rPr>
        <w:t xml:space="preserve"> </w:t>
      </w:r>
      <w:r w:rsidR="1A41F0C5" w:rsidRPr="005053C3">
        <w:rPr>
          <w:lang w:val="en-GB"/>
        </w:rPr>
        <w:t xml:space="preserve">The co-payment </w:t>
      </w:r>
      <w:r w:rsidR="4EAF8FC3" w:rsidRPr="005053C3">
        <w:rPr>
          <w:lang w:val="en-GB"/>
        </w:rPr>
        <w:t xml:space="preserve">must </w:t>
      </w:r>
      <w:r w:rsidR="1A41F0C5" w:rsidRPr="005053C3">
        <w:rPr>
          <w:lang w:val="en-GB"/>
        </w:rPr>
        <w:t xml:space="preserve">be </w:t>
      </w:r>
      <w:r w:rsidR="1B6D500B" w:rsidRPr="005053C3">
        <w:rPr>
          <w:lang w:val="en-GB"/>
        </w:rPr>
        <w:t xml:space="preserve">transparent and uniform </w:t>
      </w:r>
      <w:r w:rsidR="1A41F0C5" w:rsidRPr="005053C3">
        <w:rPr>
          <w:lang w:val="en-GB"/>
        </w:rPr>
        <w:t>across the country</w:t>
      </w:r>
      <w:r w:rsidR="331B667D" w:rsidRPr="005053C3">
        <w:rPr>
          <w:lang w:val="en-GB"/>
        </w:rPr>
        <w:t xml:space="preserve"> </w:t>
      </w:r>
      <w:r w:rsidR="1A41F0C5" w:rsidRPr="005053C3">
        <w:rPr>
          <w:lang w:val="en-GB"/>
        </w:rPr>
        <w:t xml:space="preserve">and </w:t>
      </w:r>
      <w:r w:rsidR="00106E20" w:rsidRPr="005053C3">
        <w:rPr>
          <w:lang w:val="en-GB"/>
        </w:rPr>
        <w:t>cannot</w:t>
      </w:r>
      <w:r w:rsidR="1A41F0C5" w:rsidRPr="005053C3">
        <w:rPr>
          <w:lang w:val="en-GB"/>
        </w:rPr>
        <w:t xml:space="preserve"> depend on </w:t>
      </w:r>
      <w:r w:rsidR="7D6293B3" w:rsidRPr="005053C3">
        <w:rPr>
          <w:lang w:val="en-GB"/>
        </w:rPr>
        <w:t xml:space="preserve">a </w:t>
      </w:r>
      <w:r w:rsidR="1A41F0C5" w:rsidRPr="005053C3">
        <w:rPr>
          <w:lang w:val="en-GB"/>
        </w:rPr>
        <w:t>provider’s own tariffs.</w:t>
      </w:r>
    </w:p>
    <w:p w14:paraId="6861C38B" w14:textId="77777777" w:rsidR="000103B0" w:rsidRPr="005053C3" w:rsidRDefault="000103B0" w:rsidP="002E590D">
      <w:pPr>
        <w:spacing w:after="0" w:line="240" w:lineRule="auto"/>
        <w:jc w:val="both"/>
        <w:rPr>
          <w:lang w:val="en-GB"/>
        </w:rPr>
      </w:pPr>
    </w:p>
    <w:p w14:paraId="357F7F85" w14:textId="04D40A8E" w:rsidR="00BC23C8" w:rsidRDefault="7DA16635" w:rsidP="002E590D">
      <w:pPr>
        <w:spacing w:after="0" w:line="240" w:lineRule="auto"/>
        <w:jc w:val="both"/>
        <w:rPr>
          <w:lang w:val="en-GB"/>
        </w:rPr>
      </w:pPr>
      <w:r w:rsidRPr="005053C3">
        <w:rPr>
          <w:lang w:val="en-GB"/>
        </w:rPr>
        <w:t xml:space="preserve">An important consideration for the future is </w:t>
      </w:r>
      <w:r w:rsidR="2B9CE253" w:rsidRPr="005053C3">
        <w:rPr>
          <w:lang w:val="en-GB"/>
        </w:rPr>
        <w:t>how</w:t>
      </w:r>
      <w:r w:rsidRPr="005053C3">
        <w:rPr>
          <w:lang w:val="en-GB"/>
        </w:rPr>
        <w:t xml:space="preserve"> to</w:t>
      </w:r>
      <w:r w:rsidR="15048842" w:rsidRPr="005053C3">
        <w:rPr>
          <w:lang w:val="en-GB"/>
        </w:rPr>
        <w:t xml:space="preserve"> </w:t>
      </w:r>
      <w:r w:rsidR="26450D24" w:rsidRPr="005053C3">
        <w:rPr>
          <w:lang w:val="en-GB"/>
        </w:rPr>
        <w:t xml:space="preserve">adjust </w:t>
      </w:r>
      <w:r w:rsidR="15048842" w:rsidRPr="005053C3">
        <w:rPr>
          <w:lang w:val="en-GB"/>
        </w:rPr>
        <w:t xml:space="preserve">the current </w:t>
      </w:r>
      <w:r w:rsidR="409F5A42" w:rsidRPr="005053C3">
        <w:rPr>
          <w:lang w:val="en-GB"/>
        </w:rPr>
        <w:t xml:space="preserve">medicines </w:t>
      </w:r>
      <w:r w:rsidR="46F30A80" w:rsidRPr="005053C3">
        <w:rPr>
          <w:lang w:val="en-GB"/>
        </w:rPr>
        <w:t>benefit</w:t>
      </w:r>
      <w:r w:rsidR="4C8BE9DE" w:rsidRPr="005053C3">
        <w:rPr>
          <w:lang w:val="en-GB"/>
        </w:rPr>
        <w:t>s</w:t>
      </w:r>
      <w:r w:rsidR="46F30A80" w:rsidRPr="005053C3">
        <w:rPr>
          <w:lang w:val="en-GB"/>
        </w:rPr>
        <w:t xml:space="preserve"> program</w:t>
      </w:r>
      <w:r w:rsidR="498D4703" w:rsidRPr="005053C3">
        <w:rPr>
          <w:lang w:val="en-GB"/>
        </w:rPr>
        <w:t xml:space="preserve"> </w:t>
      </w:r>
      <w:r w:rsidR="46F30A80" w:rsidRPr="005053C3">
        <w:rPr>
          <w:lang w:val="en-GB"/>
        </w:rPr>
        <w:t>to best support the priority NCD programs</w:t>
      </w:r>
      <w:r w:rsidR="643EDB1D" w:rsidRPr="005053C3">
        <w:rPr>
          <w:lang w:val="en-GB"/>
        </w:rPr>
        <w:t xml:space="preserve">. </w:t>
      </w:r>
      <w:r w:rsidR="6E47C86D" w:rsidRPr="005053C3">
        <w:rPr>
          <w:lang w:val="en-GB"/>
        </w:rPr>
        <w:t>T</w:t>
      </w:r>
      <w:r w:rsidR="6E47C86D" w:rsidRPr="005053C3">
        <w:rPr>
          <w:rFonts w:ascii="Calibri" w:eastAsia="Calibri" w:hAnsi="Calibri" w:cs="Calibri"/>
          <w:lang w:val="en-GB"/>
        </w:rPr>
        <w:t xml:space="preserve">he scope and scale of outpatient medicines benefits </w:t>
      </w:r>
      <w:r w:rsidR="17CDBF25" w:rsidRPr="005053C3">
        <w:rPr>
          <w:rFonts w:ascii="Calibri" w:eastAsia="Calibri" w:hAnsi="Calibri" w:cs="Calibri"/>
          <w:lang w:val="en-GB"/>
        </w:rPr>
        <w:t>must</w:t>
      </w:r>
      <w:r w:rsidR="6E47C86D" w:rsidRPr="005053C3">
        <w:rPr>
          <w:rFonts w:ascii="Calibri" w:eastAsia="Calibri" w:hAnsi="Calibri" w:cs="Calibri"/>
          <w:lang w:val="en-GB"/>
        </w:rPr>
        <w:t xml:space="preserve"> increase. </w:t>
      </w:r>
      <w:r w:rsidR="66E05B50" w:rsidRPr="005053C3">
        <w:rPr>
          <w:lang w:val="en-GB"/>
        </w:rPr>
        <w:t xml:space="preserve">The </w:t>
      </w:r>
      <w:r w:rsidR="5DBF26F0" w:rsidRPr="005053C3">
        <w:rPr>
          <w:lang w:val="en-GB"/>
        </w:rPr>
        <w:t xml:space="preserve">cost of </w:t>
      </w:r>
      <w:r w:rsidR="138EF011" w:rsidRPr="005053C3">
        <w:rPr>
          <w:lang w:val="en-GB"/>
        </w:rPr>
        <w:t xml:space="preserve">priority NCD </w:t>
      </w:r>
      <w:r w:rsidR="5DBF26F0" w:rsidRPr="005053C3">
        <w:rPr>
          <w:lang w:val="en-GB"/>
        </w:rPr>
        <w:t>medicines</w:t>
      </w:r>
      <w:r w:rsidR="643EDB1D" w:rsidRPr="005053C3">
        <w:rPr>
          <w:lang w:val="en-GB"/>
        </w:rPr>
        <w:t xml:space="preserve"> should be compensated at least </w:t>
      </w:r>
      <w:r w:rsidR="087442D1" w:rsidRPr="005053C3">
        <w:rPr>
          <w:lang w:val="en-GB"/>
        </w:rPr>
        <w:t xml:space="preserve">in the </w:t>
      </w:r>
      <w:r w:rsidR="643EDB1D" w:rsidRPr="005053C3">
        <w:rPr>
          <w:lang w:val="en-GB"/>
        </w:rPr>
        <w:t xml:space="preserve">medium term, because </w:t>
      </w:r>
      <w:r w:rsidR="43CCB978" w:rsidRPr="005053C3">
        <w:rPr>
          <w:lang w:val="en-GB"/>
        </w:rPr>
        <w:t xml:space="preserve">the basic NCD </w:t>
      </w:r>
      <w:r w:rsidR="43CCB978" w:rsidRPr="006F228B">
        <w:rPr>
          <w:lang w:val="en-GB"/>
        </w:rPr>
        <w:t xml:space="preserve">package includes oversight of medication adherence. If medications are not affordable to the population, the costs for regular laboratory tests and visits may not be justified. </w:t>
      </w:r>
      <w:r w:rsidR="72D733B9" w:rsidRPr="006F228B">
        <w:rPr>
          <w:lang w:val="en-GB"/>
        </w:rPr>
        <w:t>A phased</w:t>
      </w:r>
      <w:r w:rsidR="43CCB978" w:rsidRPr="006F228B">
        <w:rPr>
          <w:lang w:val="en-GB"/>
        </w:rPr>
        <w:t xml:space="preserve"> </w:t>
      </w:r>
      <w:r w:rsidR="02A9EC92" w:rsidRPr="006F228B">
        <w:rPr>
          <w:lang w:val="en-GB"/>
        </w:rPr>
        <w:t>strategy</w:t>
      </w:r>
      <w:r w:rsidR="43CCB978" w:rsidRPr="006F228B">
        <w:rPr>
          <w:lang w:val="en-GB"/>
        </w:rPr>
        <w:t xml:space="preserve"> </w:t>
      </w:r>
      <w:r w:rsidR="1D3A7CC2" w:rsidRPr="006F228B">
        <w:rPr>
          <w:lang w:val="en-GB"/>
        </w:rPr>
        <w:t>is required to make</w:t>
      </w:r>
      <w:r w:rsidR="43CCB978" w:rsidRPr="006F228B">
        <w:rPr>
          <w:lang w:val="en-GB"/>
        </w:rPr>
        <w:t xml:space="preserve"> </w:t>
      </w:r>
      <w:r w:rsidR="0BEBA78B" w:rsidRPr="006F228B">
        <w:rPr>
          <w:lang w:val="en-GB"/>
        </w:rPr>
        <w:t>medicines</w:t>
      </w:r>
      <w:r w:rsidR="43CCB978" w:rsidRPr="006F228B">
        <w:rPr>
          <w:lang w:val="en-GB"/>
        </w:rPr>
        <w:t xml:space="preserve"> more affordable </w:t>
      </w:r>
      <w:r w:rsidR="6E89D230" w:rsidRPr="006F228B">
        <w:rPr>
          <w:lang w:val="en-GB"/>
        </w:rPr>
        <w:t>for</w:t>
      </w:r>
      <w:r w:rsidR="43CCB978" w:rsidRPr="006F228B">
        <w:rPr>
          <w:lang w:val="en-GB"/>
        </w:rPr>
        <w:t xml:space="preserve"> chronic</w:t>
      </w:r>
      <w:r w:rsidR="3E621742" w:rsidRPr="006F228B">
        <w:rPr>
          <w:lang w:val="en-GB"/>
        </w:rPr>
        <w:t xml:space="preserve"> disease</w:t>
      </w:r>
      <w:r w:rsidR="43CCB978" w:rsidRPr="006F228B">
        <w:rPr>
          <w:lang w:val="en-GB"/>
        </w:rPr>
        <w:t xml:space="preserve"> patients.</w:t>
      </w:r>
      <w:r w:rsidR="01B75102" w:rsidRPr="006F228B">
        <w:rPr>
          <w:lang w:val="en-GB"/>
        </w:rPr>
        <w:t xml:space="preserve"> It is not possible to strengthen PHC and chronic care management if outpatient medicines are not affordable.</w:t>
      </w:r>
    </w:p>
    <w:p w14:paraId="55A5A72D" w14:textId="77777777" w:rsidR="00F5069E" w:rsidRPr="006F228B" w:rsidRDefault="00F5069E" w:rsidP="002E590D">
      <w:pPr>
        <w:spacing w:after="0" w:line="240" w:lineRule="auto"/>
        <w:jc w:val="both"/>
        <w:rPr>
          <w:lang w:val="en-GB"/>
        </w:rPr>
      </w:pPr>
    </w:p>
    <w:p w14:paraId="0E9B7AF1" w14:textId="650EE401" w:rsidR="00FD4916" w:rsidRPr="006F228B" w:rsidRDefault="3D4F8F9F" w:rsidP="002E590D">
      <w:pPr>
        <w:spacing w:after="0" w:line="240" w:lineRule="auto"/>
        <w:jc w:val="both"/>
        <w:rPr>
          <w:lang w:val="en-GB"/>
        </w:rPr>
      </w:pPr>
      <w:r w:rsidRPr="006F228B">
        <w:rPr>
          <w:lang w:val="en-GB"/>
        </w:rPr>
        <w:t>A</w:t>
      </w:r>
      <w:r w:rsidR="00777841" w:rsidRPr="006F228B">
        <w:rPr>
          <w:lang w:val="en-GB"/>
        </w:rPr>
        <w:t xml:space="preserve"> </w:t>
      </w:r>
      <w:r w:rsidR="69B0B9C6" w:rsidRPr="006F228B">
        <w:rPr>
          <w:lang w:val="en-GB"/>
        </w:rPr>
        <w:t xml:space="preserve">process for </w:t>
      </w:r>
      <w:r w:rsidR="00777841" w:rsidRPr="006F228B">
        <w:rPr>
          <w:lang w:val="en-GB"/>
        </w:rPr>
        <w:t>continuous</w:t>
      </w:r>
      <w:r w:rsidR="6F1E5397" w:rsidRPr="006F228B">
        <w:rPr>
          <w:lang w:val="en-GB"/>
        </w:rPr>
        <w:t xml:space="preserve"> improvement</w:t>
      </w:r>
      <w:r w:rsidR="00777841" w:rsidRPr="006F228B">
        <w:rPr>
          <w:lang w:val="en-GB"/>
        </w:rPr>
        <w:t xml:space="preserve"> </w:t>
      </w:r>
      <w:r w:rsidR="4B3D6EB0" w:rsidRPr="006F228B">
        <w:rPr>
          <w:lang w:val="en-GB"/>
        </w:rPr>
        <w:t xml:space="preserve">of </w:t>
      </w:r>
      <w:r w:rsidR="00777841" w:rsidRPr="006F228B">
        <w:rPr>
          <w:lang w:val="en-GB"/>
        </w:rPr>
        <w:t xml:space="preserve">the </w:t>
      </w:r>
      <w:r w:rsidR="00777841" w:rsidRPr="005053C3">
        <w:rPr>
          <w:lang w:val="en-GB"/>
        </w:rPr>
        <w:t xml:space="preserve">provider payment </w:t>
      </w:r>
      <w:r w:rsidR="2E1219AE" w:rsidRPr="005053C3">
        <w:rPr>
          <w:lang w:val="en-GB"/>
        </w:rPr>
        <w:t xml:space="preserve">system </w:t>
      </w:r>
      <w:r w:rsidR="0199B65E" w:rsidRPr="005053C3">
        <w:rPr>
          <w:lang w:val="en-GB"/>
        </w:rPr>
        <w:t>is needed and should</w:t>
      </w:r>
      <w:r w:rsidR="3025D55E" w:rsidRPr="005053C3">
        <w:rPr>
          <w:lang w:val="en-GB"/>
        </w:rPr>
        <w:t xml:space="preserve"> defin</w:t>
      </w:r>
      <w:r w:rsidR="138591B6" w:rsidRPr="005053C3">
        <w:rPr>
          <w:lang w:val="en-GB"/>
        </w:rPr>
        <w:t>e</w:t>
      </w:r>
      <w:r w:rsidR="3025D55E" w:rsidRPr="005053C3">
        <w:rPr>
          <w:lang w:val="en-GB"/>
        </w:rPr>
        <w:t xml:space="preserve"> </w:t>
      </w:r>
      <w:r w:rsidR="00FD4916" w:rsidRPr="006F228B">
        <w:rPr>
          <w:lang w:val="en-GB"/>
        </w:rPr>
        <w:t xml:space="preserve">institutional relationships, regulations, and health system policies to support </w:t>
      </w:r>
      <w:r w:rsidR="5134F09B" w:rsidRPr="006F228B">
        <w:rPr>
          <w:lang w:val="en-GB"/>
        </w:rPr>
        <w:t xml:space="preserve">its </w:t>
      </w:r>
      <w:r w:rsidR="00FD4916" w:rsidRPr="006F228B">
        <w:rPr>
          <w:lang w:val="en-GB"/>
        </w:rPr>
        <w:t xml:space="preserve">effective implementation. </w:t>
      </w:r>
      <w:r w:rsidR="5B056550" w:rsidRPr="006F228B">
        <w:rPr>
          <w:lang w:val="en-GB"/>
        </w:rPr>
        <w:t>The i</w:t>
      </w:r>
      <w:r w:rsidR="00FD4916" w:rsidRPr="006F228B">
        <w:rPr>
          <w:lang w:val="en-GB"/>
        </w:rPr>
        <w:t xml:space="preserve">mplementation </w:t>
      </w:r>
      <w:r w:rsidR="4B3002D0" w:rsidRPr="006F228B">
        <w:rPr>
          <w:lang w:val="en-GB"/>
        </w:rPr>
        <w:t xml:space="preserve">plan </w:t>
      </w:r>
      <w:r w:rsidR="00FD4916" w:rsidRPr="006F228B">
        <w:rPr>
          <w:lang w:val="en-GB"/>
        </w:rPr>
        <w:t>should:</w:t>
      </w:r>
    </w:p>
    <w:p w14:paraId="7DC83382" w14:textId="232E38D3" w:rsidR="00FD4916" w:rsidRPr="006F228B" w:rsidRDefault="00FD4916" w:rsidP="002E590D">
      <w:pPr>
        <w:spacing w:after="0" w:line="240" w:lineRule="auto"/>
        <w:jc w:val="both"/>
        <w:rPr>
          <w:rFonts w:cstheme="minorHAnsi"/>
          <w:lang w:val="en-GB"/>
        </w:rPr>
      </w:pPr>
      <w:r w:rsidRPr="006F228B">
        <w:rPr>
          <w:rFonts w:cstheme="minorHAnsi"/>
          <w:lang w:val="en-GB"/>
        </w:rPr>
        <w:t>•</w:t>
      </w:r>
      <w:r w:rsidRPr="006F228B">
        <w:rPr>
          <w:rFonts w:cstheme="minorHAnsi"/>
          <w:lang w:val="en-GB"/>
        </w:rPr>
        <w:tab/>
        <w:t>Create the conditions necessary to operate and manage the payment system</w:t>
      </w:r>
      <w:r w:rsidR="00E55F8D" w:rsidRPr="006F228B">
        <w:rPr>
          <w:rFonts w:cstheme="minorHAnsi"/>
          <w:lang w:val="en-GB"/>
        </w:rPr>
        <w:t>.</w:t>
      </w:r>
    </w:p>
    <w:p w14:paraId="2ED30F17" w14:textId="422BBE3E" w:rsidR="00FD4916" w:rsidRPr="006F228B" w:rsidRDefault="00FD4916" w:rsidP="002E590D">
      <w:pPr>
        <w:spacing w:after="0" w:line="240" w:lineRule="auto"/>
        <w:jc w:val="both"/>
        <w:rPr>
          <w:lang w:val="en-GB"/>
        </w:rPr>
      </w:pPr>
      <w:r w:rsidRPr="006F228B">
        <w:rPr>
          <w:lang w:val="en-GB"/>
        </w:rPr>
        <w:t>•</w:t>
      </w:r>
      <w:r w:rsidRPr="006F228B">
        <w:rPr>
          <w:lang w:val="en-GB"/>
        </w:rPr>
        <w:tab/>
        <w:t xml:space="preserve">Include systems for monitoring and </w:t>
      </w:r>
      <w:r w:rsidR="5E46B57A" w:rsidRPr="006F228B">
        <w:rPr>
          <w:lang w:val="en-GB"/>
        </w:rPr>
        <w:t>quality improvement</w:t>
      </w:r>
      <w:r w:rsidR="00E55F8D" w:rsidRPr="006F228B">
        <w:rPr>
          <w:lang w:val="en-GB"/>
        </w:rPr>
        <w:t>.</w:t>
      </w:r>
    </w:p>
    <w:p w14:paraId="61D34241" w14:textId="5DDF1E46" w:rsidR="00FD4916" w:rsidRPr="006F228B" w:rsidRDefault="00FD4916" w:rsidP="002E590D">
      <w:pPr>
        <w:spacing w:after="0" w:line="240" w:lineRule="auto"/>
        <w:ind w:left="708" w:hanging="708"/>
        <w:jc w:val="both"/>
        <w:rPr>
          <w:rFonts w:eastAsiaTheme="minorEastAsia"/>
          <w:lang w:val="en-GB"/>
        </w:rPr>
      </w:pPr>
      <w:r w:rsidRPr="006F228B">
        <w:rPr>
          <w:lang w:val="en-GB"/>
        </w:rPr>
        <w:t>•</w:t>
      </w:r>
      <w:r w:rsidRPr="006F228B">
        <w:rPr>
          <w:rFonts w:cstheme="minorHAnsi"/>
          <w:lang w:val="en-GB"/>
        </w:rPr>
        <w:tab/>
      </w:r>
      <w:r w:rsidRPr="006F228B">
        <w:rPr>
          <w:rFonts w:eastAsiaTheme="minorEastAsia"/>
          <w:lang w:val="en-GB"/>
        </w:rPr>
        <w:t>Ensure that stakeholders on all sides are accountable and adverse consequences can be managed</w:t>
      </w:r>
      <w:r w:rsidR="00E55F8D" w:rsidRPr="006F228B">
        <w:rPr>
          <w:rFonts w:eastAsiaTheme="minorEastAsia"/>
          <w:lang w:val="en-GB"/>
        </w:rPr>
        <w:t>.</w:t>
      </w:r>
      <w:r w:rsidRPr="006F228B">
        <w:rPr>
          <w:rFonts w:cstheme="minorHAnsi"/>
          <w:lang w:val="en-GB"/>
        </w:rPr>
        <w:cr/>
      </w:r>
    </w:p>
    <w:p w14:paraId="562EB4B1" w14:textId="6918FDEE" w:rsidR="5D0F74DF" w:rsidRPr="006F228B" w:rsidRDefault="4D7DB812" w:rsidP="002E590D">
      <w:pPr>
        <w:spacing w:after="0" w:line="240" w:lineRule="auto"/>
        <w:rPr>
          <w:rFonts w:ascii="Calibri" w:eastAsia="Calibri" w:hAnsi="Calibri" w:cs="Calibri"/>
          <w:lang w:val="en-GB"/>
        </w:rPr>
      </w:pPr>
      <w:r w:rsidRPr="006F228B">
        <w:rPr>
          <w:rFonts w:ascii="Calibri" w:eastAsia="Calibri" w:hAnsi="Calibri" w:cs="Calibri"/>
          <w:lang w:val="en-GB"/>
        </w:rPr>
        <w:t>Prerequisites for implementing the new payment model include</w:t>
      </w:r>
      <w:r w:rsidR="5D0F74DF" w:rsidRPr="006F228B">
        <w:rPr>
          <w:rFonts w:ascii="Calibri" w:eastAsia="Calibri" w:hAnsi="Calibri" w:cs="Calibri"/>
          <w:lang w:val="en-GB"/>
        </w:rPr>
        <w:t>:</w:t>
      </w:r>
    </w:p>
    <w:p w14:paraId="402FF0AD" w14:textId="66CECED8" w:rsidR="5D0F74DF" w:rsidRPr="006F228B" w:rsidRDefault="6F28AB72" w:rsidP="002E590D">
      <w:pPr>
        <w:pStyle w:val="ListParagraph"/>
        <w:numPr>
          <w:ilvl w:val="0"/>
          <w:numId w:val="8"/>
        </w:numPr>
        <w:spacing w:after="0" w:line="240" w:lineRule="auto"/>
        <w:jc w:val="both"/>
        <w:rPr>
          <w:rFonts w:asciiTheme="minorHAnsi" w:eastAsiaTheme="minorEastAsia" w:hAnsiTheme="minorHAnsi" w:cstheme="minorBidi"/>
          <w:lang w:val="en-GB"/>
        </w:rPr>
      </w:pPr>
      <w:r w:rsidRPr="006F228B">
        <w:rPr>
          <w:rFonts w:asciiTheme="minorHAnsi" w:eastAsiaTheme="minorEastAsia" w:hAnsiTheme="minorHAnsi" w:cstheme="minorBidi"/>
          <w:lang w:val="en-GB"/>
        </w:rPr>
        <w:t xml:space="preserve">A </w:t>
      </w:r>
      <w:r w:rsidR="5971DE5F" w:rsidRPr="006F228B">
        <w:rPr>
          <w:rFonts w:asciiTheme="minorHAnsi" w:eastAsiaTheme="minorEastAsia" w:hAnsiTheme="minorHAnsi" w:cstheme="minorBidi"/>
          <w:lang w:val="en-GB"/>
        </w:rPr>
        <w:t xml:space="preserve">patient enrolment system </w:t>
      </w:r>
      <w:r w:rsidR="006979EF">
        <w:rPr>
          <w:rFonts w:asciiTheme="minorHAnsi" w:eastAsiaTheme="minorEastAsia" w:hAnsiTheme="minorHAnsi" w:cstheme="minorBidi"/>
          <w:lang w:val="en-GB"/>
        </w:rPr>
        <w:t>for patients not enrolled in the universal healthcare program</w:t>
      </w:r>
    </w:p>
    <w:p w14:paraId="5BC9748C" w14:textId="48E3F9C7" w:rsidR="5D0F74DF" w:rsidRPr="006F228B" w:rsidRDefault="4330C60C" w:rsidP="002E590D">
      <w:pPr>
        <w:pStyle w:val="ListParagraph"/>
        <w:numPr>
          <w:ilvl w:val="0"/>
          <w:numId w:val="8"/>
        </w:numPr>
        <w:spacing w:after="0" w:line="240" w:lineRule="auto"/>
        <w:jc w:val="both"/>
        <w:rPr>
          <w:rFonts w:asciiTheme="minorHAnsi" w:eastAsiaTheme="minorEastAsia" w:hAnsiTheme="minorHAnsi" w:cstheme="minorBidi"/>
          <w:lang w:val="en-GB"/>
        </w:rPr>
      </w:pPr>
      <w:r w:rsidRPr="006F228B">
        <w:rPr>
          <w:rFonts w:asciiTheme="minorHAnsi" w:eastAsiaTheme="minorEastAsia" w:hAnsiTheme="minorHAnsi" w:cstheme="minorBidi"/>
          <w:lang w:val="en-GB"/>
        </w:rPr>
        <w:t>C</w:t>
      </w:r>
      <w:r w:rsidR="5971DE5F" w:rsidRPr="006F228B">
        <w:rPr>
          <w:rFonts w:asciiTheme="minorHAnsi" w:eastAsiaTheme="minorEastAsia" w:hAnsiTheme="minorHAnsi" w:cstheme="minorBidi"/>
          <w:lang w:val="en-GB"/>
        </w:rPr>
        <w:t>riteria</w:t>
      </w:r>
      <w:r w:rsidR="7EFF2E20" w:rsidRPr="006F228B">
        <w:rPr>
          <w:rFonts w:asciiTheme="minorHAnsi" w:eastAsiaTheme="minorEastAsia" w:hAnsiTheme="minorHAnsi" w:cstheme="minorBidi"/>
          <w:lang w:val="en-GB"/>
        </w:rPr>
        <w:t xml:space="preserve"> and a system</w:t>
      </w:r>
      <w:r w:rsidR="5971DE5F" w:rsidRPr="006F228B">
        <w:rPr>
          <w:rFonts w:asciiTheme="minorHAnsi" w:eastAsiaTheme="minorEastAsia" w:hAnsiTheme="minorHAnsi" w:cstheme="minorBidi"/>
          <w:lang w:val="en-GB"/>
        </w:rPr>
        <w:t xml:space="preserve"> to define patients for the add</w:t>
      </w:r>
      <w:r w:rsidR="11B153A3" w:rsidRPr="006F228B">
        <w:rPr>
          <w:rFonts w:asciiTheme="minorHAnsi" w:eastAsiaTheme="minorEastAsia" w:hAnsiTheme="minorHAnsi" w:cstheme="minorBidi"/>
          <w:lang w:val="en-GB"/>
        </w:rPr>
        <w:t>-</w:t>
      </w:r>
      <w:r w:rsidR="5971DE5F" w:rsidRPr="006F228B">
        <w:rPr>
          <w:rFonts w:asciiTheme="minorHAnsi" w:eastAsiaTheme="minorEastAsia" w:hAnsiTheme="minorHAnsi" w:cstheme="minorBidi"/>
          <w:lang w:val="en-GB"/>
        </w:rPr>
        <w:t>on payments of priority service</w:t>
      </w:r>
      <w:r w:rsidR="35F6AC02" w:rsidRPr="006F228B">
        <w:rPr>
          <w:rFonts w:asciiTheme="minorHAnsi" w:eastAsiaTheme="minorEastAsia" w:hAnsiTheme="minorHAnsi" w:cstheme="minorBidi"/>
          <w:lang w:val="en-GB"/>
        </w:rPr>
        <w:t>s</w:t>
      </w:r>
    </w:p>
    <w:p w14:paraId="71DFF686" w14:textId="4B2B12F9" w:rsidR="5D0F74DF" w:rsidRPr="006F228B" w:rsidRDefault="1E576803" w:rsidP="002E590D">
      <w:pPr>
        <w:pStyle w:val="ListParagraph"/>
        <w:numPr>
          <w:ilvl w:val="0"/>
          <w:numId w:val="8"/>
        </w:numPr>
        <w:spacing w:after="0" w:line="240" w:lineRule="auto"/>
        <w:jc w:val="both"/>
        <w:rPr>
          <w:rFonts w:asciiTheme="minorHAnsi" w:eastAsiaTheme="minorEastAsia" w:hAnsiTheme="minorHAnsi" w:cstheme="minorBidi"/>
          <w:lang w:val="en-GB"/>
        </w:rPr>
      </w:pPr>
      <w:r w:rsidRPr="006F228B">
        <w:rPr>
          <w:rFonts w:asciiTheme="minorHAnsi" w:eastAsiaTheme="minorEastAsia" w:hAnsiTheme="minorHAnsi" w:cstheme="minorBidi"/>
          <w:lang w:val="en-GB"/>
        </w:rPr>
        <w:t>Description of</w:t>
      </w:r>
      <w:r w:rsidR="5971DE5F" w:rsidRPr="006F228B">
        <w:rPr>
          <w:rFonts w:asciiTheme="minorHAnsi" w:eastAsiaTheme="minorEastAsia" w:hAnsiTheme="minorHAnsi" w:cstheme="minorBidi"/>
          <w:lang w:val="en-GB"/>
        </w:rPr>
        <w:t xml:space="preserve"> the technical details </w:t>
      </w:r>
      <w:r w:rsidR="0DB16A0B" w:rsidRPr="006F228B">
        <w:rPr>
          <w:rFonts w:asciiTheme="minorHAnsi" w:eastAsiaTheme="minorEastAsia" w:hAnsiTheme="minorHAnsi" w:cstheme="minorBidi"/>
          <w:lang w:val="en-GB"/>
        </w:rPr>
        <w:t xml:space="preserve">for </w:t>
      </w:r>
      <w:r w:rsidR="5971DE5F" w:rsidRPr="006F228B">
        <w:rPr>
          <w:rFonts w:asciiTheme="minorHAnsi" w:eastAsiaTheme="minorEastAsia" w:hAnsiTheme="minorHAnsi" w:cstheme="minorBidi"/>
          <w:lang w:val="en-GB"/>
        </w:rPr>
        <w:t>add</w:t>
      </w:r>
      <w:r w:rsidR="765E9F64" w:rsidRPr="006F228B">
        <w:rPr>
          <w:rFonts w:asciiTheme="minorHAnsi" w:eastAsiaTheme="minorEastAsia" w:hAnsiTheme="minorHAnsi" w:cstheme="minorBidi"/>
          <w:lang w:val="en-GB"/>
        </w:rPr>
        <w:t>-</w:t>
      </w:r>
      <w:r w:rsidR="5971DE5F" w:rsidRPr="006F228B">
        <w:rPr>
          <w:rFonts w:asciiTheme="minorHAnsi" w:eastAsiaTheme="minorEastAsia" w:hAnsiTheme="minorHAnsi" w:cstheme="minorBidi"/>
          <w:lang w:val="en-GB"/>
        </w:rPr>
        <w:t xml:space="preserve">on payment instalments and minimum data </w:t>
      </w:r>
      <w:r w:rsidR="3C00BD22" w:rsidRPr="006F228B">
        <w:rPr>
          <w:rFonts w:asciiTheme="minorHAnsi" w:eastAsiaTheme="minorEastAsia" w:hAnsiTheme="minorHAnsi" w:cstheme="minorBidi"/>
          <w:lang w:val="en-GB"/>
        </w:rPr>
        <w:t>requirements</w:t>
      </w:r>
    </w:p>
    <w:p w14:paraId="418016B4" w14:textId="1E55EF8B" w:rsidR="5D0F74DF" w:rsidRPr="006F228B" w:rsidRDefault="3C00BD22" w:rsidP="002E590D">
      <w:pPr>
        <w:pStyle w:val="ListParagraph"/>
        <w:numPr>
          <w:ilvl w:val="0"/>
          <w:numId w:val="8"/>
        </w:numPr>
        <w:spacing w:after="0" w:line="240" w:lineRule="auto"/>
        <w:jc w:val="both"/>
        <w:rPr>
          <w:rFonts w:asciiTheme="minorHAnsi" w:eastAsiaTheme="minorEastAsia" w:hAnsiTheme="minorHAnsi" w:cstheme="minorBidi"/>
          <w:lang w:val="en-GB"/>
        </w:rPr>
      </w:pPr>
      <w:r w:rsidRPr="006F228B">
        <w:rPr>
          <w:rFonts w:asciiTheme="minorHAnsi" w:eastAsiaTheme="minorEastAsia" w:hAnsiTheme="minorHAnsi" w:cstheme="minorBidi"/>
          <w:lang w:val="en-GB"/>
        </w:rPr>
        <w:t xml:space="preserve">A standardized process </w:t>
      </w:r>
      <w:r w:rsidR="1E8DEEE3" w:rsidRPr="006F228B">
        <w:rPr>
          <w:rFonts w:asciiTheme="minorHAnsi" w:eastAsiaTheme="minorEastAsia" w:hAnsiTheme="minorHAnsi" w:cstheme="minorBidi"/>
          <w:lang w:val="en-GB"/>
        </w:rPr>
        <w:t xml:space="preserve">for </w:t>
      </w:r>
      <w:r w:rsidR="001D5D2F" w:rsidRPr="006F228B">
        <w:rPr>
          <w:rFonts w:asciiTheme="minorHAnsi" w:eastAsiaTheme="minorEastAsia" w:hAnsiTheme="minorHAnsi" w:cstheme="minorBidi"/>
          <w:lang w:val="en-GB"/>
        </w:rPr>
        <w:t>compensating</w:t>
      </w:r>
      <w:r w:rsidR="15B1B00A" w:rsidRPr="006F228B">
        <w:rPr>
          <w:rFonts w:asciiTheme="minorHAnsi" w:eastAsiaTheme="minorEastAsia" w:hAnsiTheme="minorHAnsi" w:cstheme="minorBidi"/>
          <w:lang w:val="en-GB"/>
        </w:rPr>
        <w:t xml:space="preserve"> </w:t>
      </w:r>
      <w:r w:rsidR="0D9CE5A4" w:rsidRPr="006F228B">
        <w:rPr>
          <w:rFonts w:asciiTheme="minorHAnsi" w:eastAsiaTheme="minorEastAsia" w:hAnsiTheme="minorHAnsi" w:cstheme="minorBidi"/>
          <w:lang w:val="en-GB"/>
        </w:rPr>
        <w:t>facility</w:t>
      </w:r>
      <w:r w:rsidR="5971DE5F" w:rsidRPr="006F228B">
        <w:rPr>
          <w:rFonts w:asciiTheme="minorHAnsi" w:eastAsiaTheme="minorEastAsia" w:hAnsiTheme="minorHAnsi" w:cstheme="minorBidi"/>
          <w:lang w:val="en-GB"/>
        </w:rPr>
        <w:t xml:space="preserve"> rent or capitalization costs for </w:t>
      </w:r>
      <w:r w:rsidR="001D5D2F" w:rsidRPr="006F228B">
        <w:rPr>
          <w:rFonts w:asciiTheme="minorHAnsi" w:eastAsiaTheme="minorEastAsia" w:hAnsiTheme="minorHAnsi" w:cstheme="minorBidi"/>
          <w:lang w:val="en-GB"/>
        </w:rPr>
        <w:t xml:space="preserve">all PHC </w:t>
      </w:r>
      <w:r w:rsidR="5971DE5F" w:rsidRPr="006F228B">
        <w:rPr>
          <w:rFonts w:asciiTheme="minorHAnsi" w:eastAsiaTheme="minorEastAsia" w:hAnsiTheme="minorHAnsi" w:cstheme="minorBidi"/>
          <w:lang w:val="en-GB"/>
        </w:rPr>
        <w:t>providers</w:t>
      </w:r>
    </w:p>
    <w:p w14:paraId="7A52E8AC" w14:textId="02B3E663" w:rsidR="5D0F74DF" w:rsidRPr="006F228B" w:rsidRDefault="5611104A" w:rsidP="002E590D">
      <w:pPr>
        <w:pStyle w:val="ListParagraph"/>
        <w:numPr>
          <w:ilvl w:val="0"/>
          <w:numId w:val="8"/>
        </w:numPr>
        <w:spacing w:after="0" w:line="240" w:lineRule="auto"/>
        <w:jc w:val="both"/>
        <w:rPr>
          <w:rFonts w:asciiTheme="minorHAnsi" w:eastAsiaTheme="minorEastAsia" w:hAnsiTheme="minorHAnsi" w:cstheme="minorBidi"/>
          <w:lang w:val="en-GB"/>
        </w:rPr>
      </w:pPr>
      <w:r w:rsidRPr="006F228B">
        <w:rPr>
          <w:rFonts w:asciiTheme="minorHAnsi" w:eastAsiaTheme="minorEastAsia" w:hAnsiTheme="minorHAnsi" w:cstheme="minorBidi"/>
          <w:lang w:val="en-GB"/>
        </w:rPr>
        <w:t>Regulation of co-payments</w:t>
      </w:r>
      <w:r w:rsidR="5971DE5F" w:rsidRPr="006F228B">
        <w:rPr>
          <w:rFonts w:asciiTheme="minorHAnsi" w:eastAsiaTheme="minorEastAsia" w:hAnsiTheme="minorHAnsi" w:cstheme="minorBidi"/>
          <w:lang w:val="en-GB"/>
        </w:rPr>
        <w:t xml:space="preserve"> (small fixed co-payment or unified tariffs to apply percentage co-payment)</w:t>
      </w:r>
    </w:p>
    <w:p w14:paraId="4172B750" w14:textId="4F0B4F06" w:rsidR="5D0F74DF" w:rsidRDefault="48A840FD" w:rsidP="002E590D">
      <w:pPr>
        <w:pStyle w:val="ListParagraph"/>
        <w:numPr>
          <w:ilvl w:val="0"/>
          <w:numId w:val="8"/>
        </w:numPr>
        <w:spacing w:after="0" w:line="240" w:lineRule="auto"/>
        <w:jc w:val="both"/>
        <w:rPr>
          <w:rFonts w:asciiTheme="minorHAnsi" w:eastAsiaTheme="minorEastAsia" w:hAnsiTheme="minorHAnsi" w:cstheme="minorBidi"/>
          <w:lang w:val="en-GB"/>
        </w:rPr>
      </w:pPr>
      <w:r w:rsidRPr="006F228B">
        <w:rPr>
          <w:rFonts w:asciiTheme="minorHAnsi" w:eastAsiaTheme="minorEastAsia" w:hAnsiTheme="minorHAnsi" w:cstheme="minorBidi"/>
          <w:lang w:val="en-GB"/>
        </w:rPr>
        <w:t>R</w:t>
      </w:r>
      <w:r w:rsidR="5971DE5F" w:rsidRPr="006F228B">
        <w:rPr>
          <w:rFonts w:asciiTheme="minorHAnsi" w:eastAsiaTheme="minorEastAsia" w:hAnsiTheme="minorHAnsi" w:cstheme="minorBidi"/>
          <w:lang w:val="en-GB"/>
        </w:rPr>
        <w:t>eview and align</w:t>
      </w:r>
      <w:r w:rsidR="75B93C55" w:rsidRPr="006F228B">
        <w:rPr>
          <w:rFonts w:asciiTheme="minorHAnsi" w:eastAsiaTheme="minorEastAsia" w:hAnsiTheme="minorHAnsi" w:cstheme="minorBidi"/>
          <w:lang w:val="en-GB"/>
        </w:rPr>
        <w:t>ment of</w:t>
      </w:r>
      <w:r w:rsidR="5971DE5F" w:rsidRPr="006F228B">
        <w:rPr>
          <w:rFonts w:asciiTheme="minorHAnsi" w:eastAsiaTheme="minorEastAsia" w:hAnsiTheme="minorHAnsi" w:cstheme="minorBidi"/>
          <w:lang w:val="en-GB"/>
        </w:rPr>
        <w:t xml:space="preserve"> outpatient medicines benefit</w:t>
      </w:r>
      <w:r w:rsidR="05B81647" w:rsidRPr="006F228B">
        <w:rPr>
          <w:rFonts w:asciiTheme="minorHAnsi" w:eastAsiaTheme="minorEastAsia" w:hAnsiTheme="minorHAnsi" w:cstheme="minorBidi"/>
          <w:lang w:val="en-GB"/>
        </w:rPr>
        <w:t>s</w:t>
      </w:r>
      <w:r w:rsidR="5971DE5F" w:rsidRPr="006F228B">
        <w:rPr>
          <w:rFonts w:asciiTheme="minorHAnsi" w:eastAsiaTheme="minorEastAsia" w:hAnsiTheme="minorHAnsi" w:cstheme="minorBidi"/>
          <w:lang w:val="en-GB"/>
        </w:rPr>
        <w:t xml:space="preserve"> programs to ensure affordability of medicines for priority conditions</w:t>
      </w:r>
      <w:r w:rsidR="3EFF73D7" w:rsidRPr="006F228B">
        <w:rPr>
          <w:rFonts w:asciiTheme="minorHAnsi" w:eastAsiaTheme="minorEastAsia" w:hAnsiTheme="minorHAnsi" w:cstheme="minorBidi"/>
          <w:lang w:val="en-GB"/>
        </w:rPr>
        <w:t>.</w:t>
      </w:r>
    </w:p>
    <w:p w14:paraId="7FE385AC" w14:textId="77777777" w:rsidR="00F5069E" w:rsidRPr="006F228B" w:rsidRDefault="00F5069E" w:rsidP="00F5069E">
      <w:pPr>
        <w:pStyle w:val="ListParagraph"/>
        <w:spacing w:after="0" w:line="240" w:lineRule="auto"/>
        <w:jc w:val="both"/>
        <w:rPr>
          <w:rFonts w:asciiTheme="minorHAnsi" w:eastAsiaTheme="minorEastAsia" w:hAnsiTheme="minorHAnsi" w:cstheme="minorBidi"/>
          <w:lang w:val="en-GB"/>
        </w:rPr>
      </w:pPr>
    </w:p>
    <w:p w14:paraId="43E95CB0" w14:textId="2557F3C5" w:rsidR="27D2215C" w:rsidRPr="006F228B" w:rsidRDefault="022631F4" w:rsidP="002E590D">
      <w:pPr>
        <w:spacing w:after="0" w:line="240" w:lineRule="auto"/>
        <w:jc w:val="both"/>
        <w:rPr>
          <w:rFonts w:eastAsiaTheme="minorEastAsia"/>
          <w:lang w:val="en-GB"/>
        </w:rPr>
      </w:pPr>
      <w:r w:rsidRPr="006F228B">
        <w:rPr>
          <w:rFonts w:eastAsiaTheme="minorEastAsia"/>
          <w:lang w:val="en-GB"/>
        </w:rPr>
        <w:t xml:space="preserve">In the </w:t>
      </w:r>
      <w:r w:rsidR="00106E20" w:rsidRPr="006F228B">
        <w:rPr>
          <w:rFonts w:eastAsiaTheme="minorEastAsia"/>
          <w:lang w:val="en-GB"/>
        </w:rPr>
        <w:t>m</w:t>
      </w:r>
      <w:r w:rsidR="2009D82A" w:rsidRPr="006F228B">
        <w:rPr>
          <w:rFonts w:eastAsiaTheme="minorEastAsia"/>
          <w:lang w:val="en-GB"/>
        </w:rPr>
        <w:t xml:space="preserve">edium </w:t>
      </w:r>
      <w:r w:rsidR="00106E20" w:rsidRPr="006F228B">
        <w:rPr>
          <w:rFonts w:eastAsiaTheme="minorEastAsia"/>
          <w:lang w:val="en-GB"/>
        </w:rPr>
        <w:t>term</w:t>
      </w:r>
      <w:r w:rsidRPr="006F228B">
        <w:rPr>
          <w:rFonts w:eastAsiaTheme="minorEastAsia"/>
          <w:lang w:val="en-GB"/>
        </w:rPr>
        <w:t xml:space="preserve"> the following steps should be taken:</w:t>
      </w:r>
    </w:p>
    <w:p w14:paraId="1479B1A4" w14:textId="0A030363" w:rsidR="27D2215C" w:rsidRPr="006F228B" w:rsidRDefault="217CC93C" w:rsidP="002E590D">
      <w:pPr>
        <w:pStyle w:val="ListParagraph"/>
        <w:numPr>
          <w:ilvl w:val="0"/>
          <w:numId w:val="8"/>
        </w:numPr>
        <w:spacing w:after="0" w:line="240" w:lineRule="auto"/>
        <w:jc w:val="both"/>
        <w:rPr>
          <w:rFonts w:asciiTheme="minorHAnsi" w:eastAsiaTheme="minorEastAsia" w:hAnsiTheme="minorHAnsi" w:cstheme="minorBidi"/>
          <w:lang w:val="en-GB"/>
        </w:rPr>
      </w:pPr>
      <w:r w:rsidRPr="006F228B">
        <w:rPr>
          <w:rFonts w:asciiTheme="minorHAnsi" w:eastAsiaTheme="minorEastAsia" w:hAnsiTheme="minorHAnsi" w:cstheme="minorBidi"/>
          <w:lang w:val="en-GB"/>
        </w:rPr>
        <w:t xml:space="preserve">Conduct a detailed analysis among providers </w:t>
      </w:r>
      <w:r w:rsidR="11D31F51" w:rsidRPr="006F228B">
        <w:rPr>
          <w:rFonts w:asciiTheme="minorHAnsi" w:eastAsiaTheme="minorEastAsia" w:hAnsiTheme="minorHAnsi" w:cstheme="minorBidi"/>
          <w:lang w:val="en-GB"/>
        </w:rPr>
        <w:t xml:space="preserve">regarding </w:t>
      </w:r>
      <w:r w:rsidRPr="006F228B">
        <w:rPr>
          <w:rFonts w:asciiTheme="minorHAnsi" w:eastAsiaTheme="minorEastAsia" w:hAnsiTheme="minorHAnsi" w:cstheme="minorBidi"/>
          <w:lang w:val="en-GB"/>
        </w:rPr>
        <w:t xml:space="preserve">the use of essential laboratory tests </w:t>
      </w:r>
    </w:p>
    <w:p w14:paraId="479B12E3" w14:textId="7796F456" w:rsidR="27D2215C" w:rsidRPr="006F228B" w:rsidRDefault="3EFF1C05" w:rsidP="002E590D">
      <w:pPr>
        <w:pStyle w:val="ListParagraph"/>
        <w:numPr>
          <w:ilvl w:val="0"/>
          <w:numId w:val="8"/>
        </w:numPr>
        <w:spacing w:after="0" w:line="240" w:lineRule="auto"/>
        <w:jc w:val="both"/>
        <w:rPr>
          <w:rFonts w:asciiTheme="minorHAnsi" w:eastAsiaTheme="minorEastAsia" w:hAnsiTheme="minorHAnsi" w:cstheme="minorBidi"/>
          <w:lang w:val="en-GB"/>
        </w:rPr>
      </w:pPr>
      <w:r w:rsidRPr="006F228B">
        <w:rPr>
          <w:rFonts w:asciiTheme="minorHAnsi" w:eastAsiaTheme="minorEastAsia" w:hAnsiTheme="minorHAnsi" w:cstheme="minorBidi"/>
          <w:lang w:val="en-GB"/>
        </w:rPr>
        <w:t>D</w:t>
      </w:r>
      <w:r w:rsidR="022631F4" w:rsidRPr="006F228B">
        <w:rPr>
          <w:rFonts w:asciiTheme="minorHAnsi" w:eastAsiaTheme="minorEastAsia" w:hAnsiTheme="minorHAnsi" w:cstheme="minorBidi"/>
          <w:lang w:val="en-GB"/>
        </w:rPr>
        <w:t xml:space="preserve">evelop a </w:t>
      </w:r>
      <w:r w:rsidR="193F3187" w:rsidRPr="006F228B">
        <w:rPr>
          <w:rFonts w:asciiTheme="minorHAnsi" w:eastAsiaTheme="minorEastAsia" w:hAnsiTheme="minorHAnsi" w:cstheme="minorBidi"/>
          <w:lang w:val="en-GB"/>
        </w:rPr>
        <w:t xml:space="preserve">system </w:t>
      </w:r>
      <w:r w:rsidR="00106E20" w:rsidRPr="006F228B">
        <w:rPr>
          <w:rFonts w:asciiTheme="minorHAnsi" w:eastAsiaTheme="minorEastAsia" w:hAnsiTheme="minorHAnsi" w:cstheme="minorBidi"/>
          <w:lang w:val="en-GB"/>
        </w:rPr>
        <w:t>to ensure</w:t>
      </w:r>
      <w:r w:rsidR="193F3187" w:rsidRPr="006F228B">
        <w:rPr>
          <w:rFonts w:asciiTheme="minorHAnsi" w:eastAsiaTheme="minorEastAsia" w:hAnsiTheme="minorHAnsi" w:cstheme="minorBidi"/>
          <w:lang w:val="en-GB"/>
        </w:rPr>
        <w:t xml:space="preserve"> </w:t>
      </w:r>
      <w:r w:rsidR="0CACB118" w:rsidRPr="006F228B">
        <w:rPr>
          <w:rFonts w:asciiTheme="minorHAnsi" w:eastAsiaTheme="minorEastAsia" w:hAnsiTheme="minorHAnsi" w:cstheme="minorBidi"/>
          <w:lang w:val="en-GB"/>
        </w:rPr>
        <w:t>accessibility</w:t>
      </w:r>
      <w:r w:rsidR="193F3187" w:rsidRPr="006F228B">
        <w:rPr>
          <w:rFonts w:asciiTheme="minorHAnsi" w:eastAsiaTheme="minorEastAsia" w:hAnsiTheme="minorHAnsi" w:cstheme="minorBidi"/>
          <w:lang w:val="en-GB"/>
        </w:rPr>
        <w:t xml:space="preserve"> of laboratory tests</w:t>
      </w:r>
      <w:r w:rsidR="11280F43" w:rsidRPr="006F228B">
        <w:rPr>
          <w:rFonts w:asciiTheme="minorHAnsi" w:eastAsiaTheme="minorEastAsia" w:hAnsiTheme="minorHAnsi" w:cstheme="minorBidi"/>
          <w:lang w:val="en-GB"/>
        </w:rPr>
        <w:t xml:space="preserve"> and</w:t>
      </w:r>
      <w:r w:rsidR="5F330655" w:rsidRPr="006F228B">
        <w:rPr>
          <w:rFonts w:asciiTheme="minorHAnsi" w:eastAsiaTheme="minorEastAsia" w:hAnsiTheme="minorHAnsi" w:cstheme="minorBidi"/>
          <w:lang w:val="en-GB"/>
        </w:rPr>
        <w:t xml:space="preserve"> conduct basic cost calculations to define the </w:t>
      </w:r>
      <w:r w:rsidR="190C24F0" w:rsidRPr="006F228B">
        <w:rPr>
          <w:rFonts w:asciiTheme="minorHAnsi" w:eastAsiaTheme="minorEastAsia" w:hAnsiTheme="minorHAnsi" w:cstheme="minorBidi"/>
          <w:lang w:val="en-GB"/>
        </w:rPr>
        <w:t>tariffs</w:t>
      </w:r>
    </w:p>
    <w:p w14:paraId="51C1DFD3" w14:textId="568C1849" w:rsidR="27D2215C" w:rsidRDefault="07A3EAB0" w:rsidP="002E590D">
      <w:pPr>
        <w:pStyle w:val="ListParagraph"/>
        <w:numPr>
          <w:ilvl w:val="0"/>
          <w:numId w:val="8"/>
        </w:numPr>
        <w:spacing w:after="0" w:line="240" w:lineRule="auto"/>
        <w:jc w:val="both"/>
        <w:rPr>
          <w:rFonts w:asciiTheme="minorHAnsi" w:eastAsiaTheme="minorEastAsia" w:hAnsiTheme="minorHAnsi" w:cstheme="minorBidi"/>
          <w:lang w:val="en-GB"/>
        </w:rPr>
      </w:pPr>
      <w:r w:rsidRPr="006F228B">
        <w:rPr>
          <w:rFonts w:asciiTheme="minorHAnsi" w:eastAsiaTheme="minorEastAsia" w:hAnsiTheme="minorHAnsi" w:cstheme="minorBidi"/>
          <w:lang w:val="en-GB"/>
        </w:rPr>
        <w:t xml:space="preserve">Conduct </w:t>
      </w:r>
      <w:r w:rsidR="1E836405" w:rsidRPr="006F228B">
        <w:rPr>
          <w:rFonts w:asciiTheme="minorHAnsi" w:eastAsiaTheme="minorEastAsia" w:hAnsiTheme="minorHAnsi" w:cstheme="minorBidi"/>
          <w:lang w:val="en-GB"/>
        </w:rPr>
        <w:t xml:space="preserve">a </w:t>
      </w:r>
      <w:r w:rsidR="2A4E388D" w:rsidRPr="006F228B">
        <w:rPr>
          <w:rFonts w:asciiTheme="minorHAnsi" w:eastAsiaTheme="minorEastAsia" w:hAnsiTheme="minorHAnsi" w:cstheme="minorBidi"/>
          <w:lang w:val="en-GB"/>
        </w:rPr>
        <w:t xml:space="preserve">thorough bottom-up costing for </w:t>
      </w:r>
      <w:r w:rsidR="5E7BD2D9" w:rsidRPr="006F228B">
        <w:rPr>
          <w:rFonts w:asciiTheme="minorHAnsi" w:eastAsiaTheme="minorEastAsia" w:hAnsiTheme="minorHAnsi" w:cstheme="minorBidi"/>
          <w:lang w:val="en-GB"/>
        </w:rPr>
        <w:t xml:space="preserve">determining </w:t>
      </w:r>
      <w:r w:rsidR="2A4E388D" w:rsidRPr="006F228B">
        <w:rPr>
          <w:rFonts w:asciiTheme="minorHAnsi" w:eastAsiaTheme="minorEastAsia" w:hAnsiTheme="minorHAnsi" w:cstheme="minorBidi"/>
          <w:lang w:val="en-GB"/>
        </w:rPr>
        <w:t>the capitation and develop</w:t>
      </w:r>
      <w:r w:rsidR="5E25BD6C" w:rsidRPr="006F228B">
        <w:rPr>
          <w:rFonts w:asciiTheme="minorHAnsi" w:eastAsiaTheme="minorEastAsia" w:hAnsiTheme="minorHAnsi" w:cstheme="minorBidi"/>
          <w:lang w:val="en-GB"/>
        </w:rPr>
        <w:t xml:space="preserve"> </w:t>
      </w:r>
      <w:r w:rsidR="2A4E388D" w:rsidRPr="006F228B">
        <w:rPr>
          <w:rFonts w:asciiTheme="minorHAnsi" w:eastAsiaTheme="minorEastAsia" w:hAnsiTheme="minorHAnsi" w:cstheme="minorBidi"/>
          <w:lang w:val="en-GB"/>
        </w:rPr>
        <w:t>a system for renewing the costing model</w:t>
      </w:r>
    </w:p>
    <w:p w14:paraId="578C8BA6" w14:textId="77777777" w:rsidR="00F5069E" w:rsidRPr="006F228B" w:rsidRDefault="00F5069E" w:rsidP="00F5069E">
      <w:pPr>
        <w:pStyle w:val="ListParagraph"/>
        <w:spacing w:after="0" w:line="240" w:lineRule="auto"/>
        <w:jc w:val="both"/>
        <w:rPr>
          <w:rFonts w:asciiTheme="minorHAnsi" w:eastAsiaTheme="minorEastAsia" w:hAnsiTheme="minorHAnsi" w:cstheme="minorBidi"/>
          <w:lang w:val="en-GB"/>
        </w:rPr>
      </w:pPr>
    </w:p>
    <w:p w14:paraId="2318F426" w14:textId="3F087E1C" w:rsidR="7455FEDB" w:rsidRPr="006F228B" w:rsidRDefault="3E5F8090" w:rsidP="002E590D">
      <w:pPr>
        <w:spacing w:after="0" w:line="240" w:lineRule="auto"/>
        <w:jc w:val="both"/>
        <w:rPr>
          <w:lang w:val="en-GB"/>
        </w:rPr>
      </w:pPr>
      <w:r w:rsidRPr="006F228B">
        <w:rPr>
          <w:rFonts w:eastAsiaTheme="minorEastAsia"/>
          <w:lang w:val="en-GB"/>
        </w:rPr>
        <w:t xml:space="preserve">In the long term, </w:t>
      </w:r>
      <w:r w:rsidR="39EB8B66" w:rsidRPr="006F228B">
        <w:rPr>
          <w:rFonts w:eastAsiaTheme="minorEastAsia"/>
          <w:lang w:val="en-GB"/>
        </w:rPr>
        <w:t>adjusting</w:t>
      </w:r>
      <w:r w:rsidRPr="006F228B">
        <w:rPr>
          <w:rFonts w:eastAsiaTheme="minorEastAsia"/>
          <w:lang w:val="en-GB"/>
        </w:rPr>
        <w:t xml:space="preserve"> the capitation</w:t>
      </w:r>
      <w:r w:rsidR="00F0B64A" w:rsidRPr="006F228B">
        <w:rPr>
          <w:rFonts w:eastAsiaTheme="minorEastAsia"/>
          <w:lang w:val="en-GB"/>
        </w:rPr>
        <w:t xml:space="preserve"> </w:t>
      </w:r>
      <w:r w:rsidR="38C0EDE1" w:rsidRPr="006F228B">
        <w:rPr>
          <w:rFonts w:eastAsiaTheme="minorEastAsia"/>
          <w:lang w:val="en-GB"/>
        </w:rPr>
        <w:t>rate according</w:t>
      </w:r>
      <w:r w:rsidRPr="006F228B">
        <w:rPr>
          <w:rFonts w:eastAsiaTheme="minorEastAsia"/>
          <w:lang w:val="en-GB"/>
        </w:rPr>
        <w:t xml:space="preserve"> to age/sex or additional risk factors/health needs</w:t>
      </w:r>
      <w:r w:rsidR="6E0A784F" w:rsidRPr="006F228B">
        <w:rPr>
          <w:rFonts w:eastAsiaTheme="minorEastAsia"/>
          <w:lang w:val="en-GB"/>
        </w:rPr>
        <w:t xml:space="preserve"> may </w:t>
      </w:r>
      <w:r w:rsidR="52D8605C" w:rsidRPr="006F228B">
        <w:rPr>
          <w:rFonts w:eastAsiaTheme="minorEastAsia"/>
          <w:lang w:val="en-GB"/>
        </w:rPr>
        <w:t xml:space="preserve">create incentives for </w:t>
      </w:r>
      <w:r w:rsidR="6E0A784F" w:rsidRPr="006F228B">
        <w:rPr>
          <w:rFonts w:eastAsiaTheme="minorEastAsia"/>
          <w:lang w:val="en-GB"/>
        </w:rPr>
        <w:t>the provision of certain services at the PHC level</w:t>
      </w:r>
      <w:r w:rsidRPr="006F228B">
        <w:rPr>
          <w:rFonts w:eastAsiaTheme="minorEastAsia"/>
          <w:lang w:val="en-GB"/>
        </w:rPr>
        <w:t xml:space="preserve">. </w:t>
      </w:r>
      <w:r w:rsidR="0A9CE1FE" w:rsidRPr="006F228B">
        <w:rPr>
          <w:rFonts w:eastAsiaTheme="minorEastAsia"/>
          <w:lang w:val="en-GB"/>
        </w:rPr>
        <w:t>This would require additional data.</w:t>
      </w:r>
      <w:r w:rsidR="30613445" w:rsidRPr="006F228B">
        <w:rPr>
          <w:rFonts w:eastAsiaTheme="minorEastAsia"/>
          <w:lang w:val="en-GB"/>
        </w:rPr>
        <w:t xml:space="preserve"> </w:t>
      </w:r>
      <w:r w:rsidR="6844FFC3" w:rsidRPr="006F228B">
        <w:rPr>
          <w:rFonts w:eastAsiaTheme="minorEastAsia"/>
          <w:lang w:val="en-GB"/>
        </w:rPr>
        <w:t>A</w:t>
      </w:r>
      <w:r w:rsidRPr="006F228B">
        <w:rPr>
          <w:rFonts w:eastAsiaTheme="minorEastAsia"/>
          <w:lang w:val="en-GB"/>
        </w:rPr>
        <w:t>dd</w:t>
      </w:r>
      <w:r w:rsidR="153F04F1" w:rsidRPr="006F228B">
        <w:rPr>
          <w:rFonts w:eastAsiaTheme="minorEastAsia"/>
          <w:lang w:val="en-GB"/>
        </w:rPr>
        <w:t>ing</w:t>
      </w:r>
      <w:r w:rsidRPr="006F228B">
        <w:rPr>
          <w:rFonts w:eastAsiaTheme="minorEastAsia"/>
          <w:lang w:val="en-GB"/>
        </w:rPr>
        <w:t xml:space="preserve"> fee-for-service payments for </w:t>
      </w:r>
      <w:r w:rsidR="445DC442" w:rsidRPr="006F228B">
        <w:rPr>
          <w:rFonts w:eastAsiaTheme="minorEastAsia"/>
          <w:lang w:val="en-GB"/>
        </w:rPr>
        <w:t>select</w:t>
      </w:r>
      <w:r w:rsidR="00037A7D" w:rsidRPr="006F228B">
        <w:rPr>
          <w:rFonts w:eastAsiaTheme="minorEastAsia"/>
          <w:lang w:val="en-GB"/>
        </w:rPr>
        <w:t>ed</w:t>
      </w:r>
      <w:r w:rsidR="445DC442" w:rsidRPr="006F228B">
        <w:rPr>
          <w:rFonts w:eastAsiaTheme="minorEastAsia"/>
          <w:lang w:val="en-GB"/>
        </w:rPr>
        <w:t xml:space="preserve"> </w:t>
      </w:r>
      <w:r w:rsidRPr="006F228B">
        <w:rPr>
          <w:rFonts w:eastAsiaTheme="minorEastAsia"/>
          <w:lang w:val="en-GB"/>
        </w:rPr>
        <w:t>priority laboratory tests or other priority services</w:t>
      </w:r>
      <w:r w:rsidR="64A830D2" w:rsidRPr="006F228B">
        <w:rPr>
          <w:rFonts w:eastAsiaTheme="minorEastAsia"/>
          <w:lang w:val="en-GB"/>
        </w:rPr>
        <w:t xml:space="preserve"> c</w:t>
      </w:r>
      <w:r w:rsidR="44C590B7" w:rsidRPr="006F228B">
        <w:rPr>
          <w:rFonts w:eastAsiaTheme="minorEastAsia"/>
          <w:lang w:val="en-GB"/>
        </w:rPr>
        <w:t>ould bring incentives in alignment with PHC goals</w:t>
      </w:r>
      <w:r w:rsidRPr="006F228B">
        <w:rPr>
          <w:rFonts w:eastAsiaTheme="minorEastAsia"/>
          <w:lang w:val="en-GB"/>
        </w:rPr>
        <w:t xml:space="preserve">. This may </w:t>
      </w:r>
      <w:r w:rsidR="29E59151" w:rsidRPr="006F228B">
        <w:rPr>
          <w:rFonts w:eastAsiaTheme="minorEastAsia"/>
          <w:lang w:val="en-GB"/>
        </w:rPr>
        <w:t xml:space="preserve">also </w:t>
      </w:r>
      <w:r w:rsidR="25DBDCCF" w:rsidRPr="006F228B">
        <w:rPr>
          <w:rFonts w:eastAsiaTheme="minorEastAsia"/>
          <w:lang w:val="en-GB"/>
        </w:rPr>
        <w:t>support increased diagnostic</w:t>
      </w:r>
      <w:r w:rsidRPr="006F228B">
        <w:rPr>
          <w:rFonts w:eastAsiaTheme="minorEastAsia"/>
          <w:lang w:val="en-GB"/>
        </w:rPr>
        <w:t xml:space="preserve"> availability in rural ar</w:t>
      </w:r>
      <w:r w:rsidR="30613445" w:rsidRPr="006F228B">
        <w:rPr>
          <w:rFonts w:eastAsiaTheme="minorEastAsia"/>
          <w:lang w:val="en-GB"/>
        </w:rPr>
        <w:t>e</w:t>
      </w:r>
      <w:r w:rsidRPr="006F228B">
        <w:rPr>
          <w:rFonts w:eastAsiaTheme="minorEastAsia"/>
          <w:lang w:val="en-GB"/>
        </w:rPr>
        <w:t xml:space="preserve">as. </w:t>
      </w:r>
      <w:r w:rsidR="66E05B50" w:rsidRPr="006F228B">
        <w:rPr>
          <w:lang w:val="en-GB"/>
        </w:rPr>
        <w:t xml:space="preserve">The </w:t>
      </w:r>
      <w:r w:rsidR="13969B01" w:rsidRPr="006F228B">
        <w:rPr>
          <w:lang w:val="en-GB"/>
        </w:rPr>
        <w:t>c</w:t>
      </w:r>
      <w:r w:rsidR="66E05B50" w:rsidRPr="006F228B">
        <w:rPr>
          <w:lang w:val="en-GB"/>
        </w:rPr>
        <w:t xml:space="preserve">osting and payment model can be </w:t>
      </w:r>
      <w:r w:rsidR="45E7731A" w:rsidRPr="006F228B">
        <w:rPr>
          <w:lang w:val="en-GB"/>
        </w:rPr>
        <w:t xml:space="preserve">further </w:t>
      </w:r>
      <w:r w:rsidR="66E05B50" w:rsidRPr="006F228B">
        <w:rPr>
          <w:lang w:val="en-GB"/>
        </w:rPr>
        <w:t xml:space="preserve">developed depending on </w:t>
      </w:r>
      <w:r w:rsidR="60965E62" w:rsidRPr="006F228B">
        <w:rPr>
          <w:lang w:val="en-GB"/>
        </w:rPr>
        <w:t xml:space="preserve">the </w:t>
      </w:r>
      <w:r w:rsidR="66E05B50" w:rsidRPr="006F228B">
        <w:rPr>
          <w:lang w:val="en-GB"/>
        </w:rPr>
        <w:t xml:space="preserve">Ministry’s feedback and </w:t>
      </w:r>
      <w:r w:rsidR="216F1FC0" w:rsidRPr="006F228B">
        <w:rPr>
          <w:lang w:val="en-GB"/>
        </w:rPr>
        <w:t xml:space="preserve">expectations. </w:t>
      </w:r>
    </w:p>
    <w:p w14:paraId="58926D12" w14:textId="77777777" w:rsidR="00DB1F4D" w:rsidRPr="005053C3" w:rsidRDefault="00DB1F4D" w:rsidP="002E590D">
      <w:pPr>
        <w:spacing w:after="0" w:line="240" w:lineRule="auto"/>
        <w:jc w:val="both"/>
        <w:rPr>
          <w:lang w:val="en-GB"/>
        </w:rPr>
        <w:sectPr w:rsidR="00DB1F4D" w:rsidRPr="005053C3">
          <w:footerReference w:type="default" r:id="rId21"/>
          <w:pgSz w:w="11906" w:h="16838"/>
          <w:pgMar w:top="1417" w:right="1417" w:bottom="1417" w:left="1417" w:header="708" w:footer="708" w:gutter="0"/>
          <w:cols w:space="708"/>
          <w:docGrid w:linePitch="360"/>
        </w:sectPr>
      </w:pPr>
    </w:p>
    <w:p w14:paraId="4011CF59" w14:textId="44D8D1BD" w:rsidR="4F1CED03" w:rsidRPr="001B572A" w:rsidRDefault="4F1CED03" w:rsidP="002E590D">
      <w:pPr>
        <w:pStyle w:val="Heading1"/>
        <w:spacing w:before="0" w:line="240" w:lineRule="auto"/>
        <w:rPr>
          <w:b/>
          <w:bCs/>
          <w:color w:val="auto"/>
          <w:lang w:val="en-GB"/>
        </w:rPr>
      </w:pPr>
      <w:bookmarkStart w:id="18" w:name="_Toc62149258"/>
      <w:r w:rsidRPr="001B572A">
        <w:rPr>
          <w:b/>
          <w:bCs/>
          <w:color w:val="auto"/>
          <w:lang w:val="en-GB"/>
        </w:rPr>
        <w:lastRenderedPageBreak/>
        <w:t xml:space="preserve">Annex </w:t>
      </w:r>
      <w:r w:rsidR="00106E20" w:rsidRPr="001B572A">
        <w:rPr>
          <w:b/>
          <w:bCs/>
          <w:color w:val="auto"/>
          <w:lang w:val="en-GB"/>
        </w:rPr>
        <w:t>1</w:t>
      </w:r>
      <w:bookmarkEnd w:id="18"/>
      <w:r w:rsidRPr="001B572A">
        <w:rPr>
          <w:b/>
          <w:bCs/>
          <w:color w:val="auto"/>
          <w:lang w:val="en-GB"/>
        </w:rPr>
        <w:t xml:space="preserve"> </w:t>
      </w:r>
    </w:p>
    <w:tbl>
      <w:tblPr>
        <w:tblpPr w:leftFromText="141" w:rightFromText="141" w:vertAnchor="text" w:horzAnchor="margin" w:tblpXSpec="center" w:tblpY="322"/>
        <w:tblW w:w="15846" w:type="dxa"/>
        <w:tblLayout w:type="fixed"/>
        <w:tblCellMar>
          <w:left w:w="70" w:type="dxa"/>
          <w:right w:w="70" w:type="dxa"/>
        </w:tblCellMar>
        <w:tblLook w:val="04A0" w:firstRow="1" w:lastRow="0" w:firstColumn="1" w:lastColumn="0" w:noHBand="0" w:noVBand="1"/>
      </w:tblPr>
      <w:tblGrid>
        <w:gridCol w:w="988"/>
        <w:gridCol w:w="622"/>
        <w:gridCol w:w="798"/>
        <w:gridCol w:w="671"/>
        <w:gridCol w:w="671"/>
        <w:gridCol w:w="673"/>
        <w:gridCol w:w="671"/>
        <w:gridCol w:w="673"/>
        <w:gridCol w:w="671"/>
        <w:gridCol w:w="673"/>
        <w:gridCol w:w="671"/>
        <w:gridCol w:w="673"/>
        <w:gridCol w:w="671"/>
        <w:gridCol w:w="671"/>
        <w:gridCol w:w="673"/>
        <w:gridCol w:w="671"/>
        <w:gridCol w:w="673"/>
        <w:gridCol w:w="671"/>
        <w:gridCol w:w="673"/>
        <w:gridCol w:w="671"/>
        <w:gridCol w:w="673"/>
        <w:gridCol w:w="671"/>
        <w:gridCol w:w="673"/>
      </w:tblGrid>
      <w:tr w:rsidR="00DB1F4D" w:rsidRPr="005053C3" w14:paraId="46208E91" w14:textId="77777777" w:rsidTr="195A9735">
        <w:trPr>
          <w:trHeight w:val="1062"/>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173C34" w14:textId="77777777" w:rsidR="00DB1F4D" w:rsidRPr="005053C3" w:rsidRDefault="00DB1F4D" w:rsidP="002E590D">
            <w:pPr>
              <w:spacing w:after="0" w:line="240" w:lineRule="auto"/>
              <w:rPr>
                <w:rFonts w:asciiTheme="majorHAnsi" w:eastAsia="Times New Roman" w:hAnsiTheme="majorHAnsi" w:cstheme="majorHAnsi"/>
                <w:color w:val="000000"/>
                <w:sz w:val="16"/>
                <w:szCs w:val="16"/>
                <w:lang w:val="en-GB" w:eastAsia="et-EE"/>
              </w:rPr>
            </w:pPr>
            <w:r w:rsidRPr="005053C3">
              <w:rPr>
                <w:rFonts w:asciiTheme="majorHAnsi" w:eastAsia="Times New Roman" w:hAnsiTheme="majorHAnsi" w:cstheme="majorHAnsi"/>
                <w:color w:val="000000"/>
                <w:sz w:val="16"/>
                <w:szCs w:val="16"/>
                <w:lang w:val="en-GB" w:eastAsia="et-EE"/>
              </w:rPr>
              <w:t> </w:t>
            </w:r>
          </w:p>
        </w:tc>
        <w:tc>
          <w:tcPr>
            <w:tcW w:w="622" w:type="dxa"/>
            <w:tcBorders>
              <w:top w:val="single" w:sz="4" w:space="0" w:color="auto"/>
              <w:left w:val="nil"/>
              <w:bottom w:val="single" w:sz="4" w:space="0" w:color="auto"/>
              <w:right w:val="single" w:sz="4" w:space="0" w:color="auto"/>
            </w:tcBorders>
            <w:shd w:val="clear" w:color="auto" w:fill="auto"/>
            <w:vAlign w:val="center"/>
            <w:hideMark/>
          </w:tcPr>
          <w:p w14:paraId="516D996A" w14:textId="52A39C91" w:rsidR="00DB1F4D" w:rsidRPr="005053C3" w:rsidRDefault="63B75452" w:rsidP="002E590D">
            <w:pPr>
              <w:spacing w:after="0" w:line="240" w:lineRule="auto"/>
              <w:jc w:val="center"/>
              <w:rPr>
                <w:rFonts w:asciiTheme="majorHAnsi" w:eastAsia="Times New Roman" w:hAnsiTheme="majorHAnsi" w:cstheme="majorHAnsi"/>
                <w:b/>
                <w:bCs/>
                <w:sz w:val="16"/>
                <w:szCs w:val="16"/>
                <w:lang w:val="en-GB" w:eastAsia="et-EE"/>
              </w:rPr>
            </w:pPr>
            <w:r w:rsidRPr="005053C3">
              <w:rPr>
                <w:rFonts w:asciiTheme="majorHAnsi" w:eastAsia="Times New Roman" w:hAnsiTheme="majorHAnsi" w:cstheme="majorHAnsi"/>
                <w:b/>
                <w:bCs/>
                <w:sz w:val="16"/>
                <w:szCs w:val="16"/>
                <w:lang w:val="en-GB" w:eastAsia="et-EE"/>
              </w:rPr>
              <w:t xml:space="preserve">Patient list/catchment </w:t>
            </w:r>
            <w:r w:rsidR="30613445" w:rsidRPr="005053C3">
              <w:rPr>
                <w:rFonts w:asciiTheme="majorHAnsi" w:eastAsia="Times New Roman" w:hAnsiTheme="majorHAnsi" w:cstheme="majorHAnsi"/>
                <w:b/>
                <w:bCs/>
                <w:sz w:val="16"/>
                <w:szCs w:val="16"/>
                <w:lang w:val="en-GB" w:eastAsia="et-EE"/>
              </w:rPr>
              <w:t>area</w:t>
            </w:r>
          </w:p>
        </w:tc>
        <w:tc>
          <w:tcPr>
            <w:tcW w:w="798" w:type="dxa"/>
            <w:tcBorders>
              <w:top w:val="single" w:sz="4" w:space="0" w:color="auto"/>
              <w:left w:val="nil"/>
              <w:bottom w:val="single" w:sz="4" w:space="0" w:color="auto"/>
              <w:right w:val="single" w:sz="4" w:space="0" w:color="auto"/>
            </w:tcBorders>
            <w:shd w:val="clear" w:color="auto" w:fill="auto"/>
            <w:vAlign w:val="center"/>
            <w:hideMark/>
          </w:tcPr>
          <w:p w14:paraId="74A36187" w14:textId="77777777" w:rsidR="00DB1F4D" w:rsidRPr="005053C3" w:rsidRDefault="00DB1F4D" w:rsidP="002E590D">
            <w:pPr>
              <w:spacing w:after="0" w:line="240" w:lineRule="auto"/>
              <w:jc w:val="center"/>
              <w:rPr>
                <w:rFonts w:asciiTheme="majorHAnsi" w:eastAsia="Times New Roman" w:hAnsiTheme="majorHAnsi" w:cstheme="majorHAnsi"/>
                <w:b/>
                <w:bCs/>
                <w:sz w:val="16"/>
                <w:szCs w:val="16"/>
                <w:lang w:val="en-GB" w:eastAsia="et-EE"/>
              </w:rPr>
            </w:pPr>
            <w:r w:rsidRPr="005053C3">
              <w:rPr>
                <w:rFonts w:asciiTheme="majorHAnsi" w:eastAsia="Times New Roman" w:hAnsiTheme="majorHAnsi" w:cstheme="majorHAnsi"/>
                <w:b/>
                <w:bCs/>
                <w:sz w:val="16"/>
                <w:szCs w:val="16"/>
                <w:lang w:val="en-GB" w:eastAsia="et-EE"/>
              </w:rPr>
              <w:t xml:space="preserve"> Service region (urban/ urban and rural/rural)</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3AE17912" w14:textId="7146AE2D" w:rsidR="00DB1F4D" w:rsidRPr="005053C3" w:rsidRDefault="00DB1F4D" w:rsidP="002E590D">
            <w:pPr>
              <w:spacing w:after="0" w:line="240" w:lineRule="auto"/>
              <w:jc w:val="center"/>
              <w:rPr>
                <w:rFonts w:asciiTheme="majorHAnsi" w:eastAsia="Times New Roman" w:hAnsiTheme="majorHAnsi" w:cstheme="majorHAnsi"/>
                <w:b/>
                <w:bCs/>
                <w:sz w:val="16"/>
                <w:szCs w:val="16"/>
                <w:lang w:val="en-GB" w:eastAsia="et-EE"/>
              </w:rPr>
            </w:pPr>
            <w:r w:rsidRPr="005053C3">
              <w:rPr>
                <w:rFonts w:asciiTheme="majorHAnsi" w:eastAsia="Times New Roman" w:hAnsiTheme="majorHAnsi" w:cstheme="majorHAnsi"/>
                <w:b/>
                <w:bCs/>
                <w:sz w:val="16"/>
                <w:szCs w:val="16"/>
                <w:lang w:val="en-GB" w:eastAsia="et-EE"/>
              </w:rPr>
              <w:t xml:space="preserve"> Patient list or no of patients in catchment area (number)</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76EE7948" w14:textId="77777777" w:rsidR="00DB1F4D" w:rsidRPr="005053C3" w:rsidRDefault="00DB1F4D" w:rsidP="002E590D">
            <w:pPr>
              <w:spacing w:after="0" w:line="240" w:lineRule="auto"/>
              <w:rPr>
                <w:rFonts w:asciiTheme="majorHAnsi" w:eastAsia="Times New Roman" w:hAnsiTheme="majorHAnsi" w:cstheme="majorHAnsi"/>
                <w:b/>
                <w:bCs/>
                <w:sz w:val="16"/>
                <w:szCs w:val="16"/>
                <w:lang w:val="en-GB" w:eastAsia="et-EE"/>
              </w:rPr>
            </w:pPr>
            <w:r w:rsidRPr="005053C3">
              <w:rPr>
                <w:rFonts w:asciiTheme="majorHAnsi" w:eastAsia="Times New Roman" w:hAnsiTheme="majorHAnsi" w:cstheme="majorHAnsi"/>
                <w:b/>
                <w:bCs/>
                <w:sz w:val="16"/>
                <w:szCs w:val="16"/>
                <w:lang w:val="en-GB" w:eastAsia="et-EE"/>
              </w:rPr>
              <w:t>Patient list without rural patients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14:paraId="35AFC5E1" w14:textId="77777777" w:rsidR="00DB1F4D" w:rsidRPr="005053C3" w:rsidRDefault="00DB1F4D" w:rsidP="002E590D">
            <w:pPr>
              <w:spacing w:after="0" w:line="240" w:lineRule="auto"/>
              <w:rPr>
                <w:rFonts w:asciiTheme="majorHAnsi" w:eastAsia="Times New Roman" w:hAnsiTheme="majorHAnsi" w:cstheme="majorHAnsi"/>
                <w:b/>
                <w:bCs/>
                <w:sz w:val="16"/>
                <w:szCs w:val="16"/>
                <w:lang w:val="en-GB" w:eastAsia="et-EE"/>
              </w:rPr>
            </w:pPr>
            <w:r w:rsidRPr="005053C3">
              <w:rPr>
                <w:rFonts w:asciiTheme="majorHAnsi" w:eastAsia="Times New Roman" w:hAnsiTheme="majorHAnsi" w:cstheme="majorHAnsi"/>
                <w:b/>
                <w:bCs/>
                <w:sz w:val="16"/>
                <w:szCs w:val="16"/>
                <w:lang w:val="en-GB" w:eastAsia="et-EE"/>
              </w:rPr>
              <w:t>Per person monthly from total state funding</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334712FE" w14:textId="77777777" w:rsidR="00DB1F4D" w:rsidRPr="005053C3" w:rsidRDefault="00DB1F4D" w:rsidP="002E590D">
            <w:pPr>
              <w:spacing w:after="0" w:line="240" w:lineRule="auto"/>
              <w:rPr>
                <w:rFonts w:asciiTheme="majorHAnsi" w:eastAsia="Times New Roman" w:hAnsiTheme="majorHAnsi" w:cstheme="majorHAnsi"/>
                <w:b/>
                <w:bCs/>
                <w:sz w:val="16"/>
                <w:szCs w:val="16"/>
                <w:lang w:val="en-GB" w:eastAsia="et-EE"/>
              </w:rPr>
            </w:pPr>
            <w:r w:rsidRPr="005053C3">
              <w:rPr>
                <w:rFonts w:asciiTheme="majorHAnsi" w:eastAsia="Times New Roman" w:hAnsiTheme="majorHAnsi" w:cstheme="majorHAnsi"/>
                <w:b/>
                <w:bCs/>
                <w:sz w:val="16"/>
                <w:szCs w:val="16"/>
                <w:lang w:val="en-GB" w:eastAsia="et-EE"/>
              </w:rPr>
              <w:t>Per person monthly from total budget</w:t>
            </w:r>
          </w:p>
        </w:tc>
        <w:tc>
          <w:tcPr>
            <w:tcW w:w="673" w:type="dxa"/>
            <w:tcBorders>
              <w:top w:val="single" w:sz="4" w:space="0" w:color="auto"/>
              <w:left w:val="nil"/>
              <w:bottom w:val="single" w:sz="4" w:space="0" w:color="auto"/>
              <w:right w:val="single" w:sz="4" w:space="0" w:color="auto"/>
            </w:tcBorders>
            <w:shd w:val="clear" w:color="auto" w:fill="auto"/>
            <w:vAlign w:val="center"/>
            <w:hideMark/>
          </w:tcPr>
          <w:p w14:paraId="48B07456" w14:textId="77777777" w:rsidR="00DB1F4D" w:rsidRPr="005053C3" w:rsidRDefault="00DB1F4D" w:rsidP="002E590D">
            <w:pPr>
              <w:spacing w:after="0" w:line="240" w:lineRule="auto"/>
              <w:rPr>
                <w:rFonts w:asciiTheme="majorHAnsi" w:eastAsia="Times New Roman" w:hAnsiTheme="majorHAnsi" w:cstheme="majorHAnsi"/>
                <w:b/>
                <w:bCs/>
                <w:sz w:val="16"/>
                <w:szCs w:val="16"/>
                <w:lang w:val="en-GB" w:eastAsia="et-EE"/>
              </w:rPr>
            </w:pPr>
            <w:r w:rsidRPr="005053C3">
              <w:rPr>
                <w:rFonts w:asciiTheme="majorHAnsi" w:eastAsia="Times New Roman" w:hAnsiTheme="majorHAnsi" w:cstheme="majorHAnsi"/>
                <w:b/>
                <w:bCs/>
                <w:sz w:val="16"/>
                <w:szCs w:val="16"/>
                <w:lang w:val="en-GB" w:eastAsia="et-EE"/>
              </w:rPr>
              <w:t>FD monthly salary without bonus</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346BEDD2" w14:textId="6130E805" w:rsidR="00DB1F4D" w:rsidRPr="005053C3" w:rsidRDefault="00C73F6E" w:rsidP="002E590D">
            <w:pPr>
              <w:spacing w:after="0" w:line="240" w:lineRule="auto"/>
              <w:rPr>
                <w:rFonts w:asciiTheme="majorHAnsi" w:eastAsia="Times New Roman" w:hAnsiTheme="majorHAnsi" w:cstheme="majorHAnsi"/>
                <w:b/>
                <w:bCs/>
                <w:sz w:val="16"/>
                <w:szCs w:val="16"/>
                <w:lang w:val="en-GB" w:eastAsia="et-EE"/>
              </w:rPr>
            </w:pPr>
            <w:r>
              <w:rPr>
                <w:rFonts w:asciiTheme="majorHAnsi" w:eastAsia="Times New Roman" w:hAnsiTheme="majorHAnsi" w:cstheme="majorHAnsi"/>
                <w:b/>
                <w:bCs/>
                <w:sz w:val="16"/>
                <w:szCs w:val="16"/>
                <w:lang w:val="en-GB" w:eastAsia="et-EE"/>
              </w:rPr>
              <w:t>FN</w:t>
            </w:r>
            <w:r w:rsidR="00DB1F4D" w:rsidRPr="005053C3">
              <w:rPr>
                <w:rFonts w:asciiTheme="majorHAnsi" w:eastAsia="Times New Roman" w:hAnsiTheme="majorHAnsi" w:cstheme="majorHAnsi"/>
                <w:b/>
                <w:bCs/>
                <w:sz w:val="16"/>
                <w:szCs w:val="16"/>
                <w:lang w:val="en-GB" w:eastAsia="et-EE"/>
              </w:rPr>
              <w:t xml:space="preserve"> monthly salary without bonus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14:paraId="2B8F5E51" w14:textId="77777777" w:rsidR="00DB1F4D" w:rsidRPr="005053C3" w:rsidRDefault="00DB1F4D" w:rsidP="002E590D">
            <w:pPr>
              <w:spacing w:after="0" w:line="240" w:lineRule="auto"/>
              <w:rPr>
                <w:rFonts w:asciiTheme="majorHAnsi" w:eastAsia="Times New Roman" w:hAnsiTheme="majorHAnsi" w:cstheme="majorHAnsi"/>
                <w:b/>
                <w:bCs/>
                <w:sz w:val="16"/>
                <w:szCs w:val="16"/>
                <w:lang w:val="en-GB" w:eastAsia="et-EE"/>
              </w:rPr>
            </w:pPr>
            <w:r w:rsidRPr="005053C3">
              <w:rPr>
                <w:rFonts w:asciiTheme="majorHAnsi" w:eastAsia="Times New Roman" w:hAnsiTheme="majorHAnsi" w:cstheme="majorHAnsi"/>
                <w:b/>
                <w:bCs/>
                <w:sz w:val="16"/>
                <w:szCs w:val="16"/>
                <w:lang w:val="en-GB" w:eastAsia="et-EE"/>
              </w:rPr>
              <w:t>FD monthly salary with bonus</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362218C7" w14:textId="38069464" w:rsidR="00DB1F4D" w:rsidRPr="005053C3" w:rsidRDefault="00C73F6E" w:rsidP="002E590D">
            <w:pPr>
              <w:spacing w:after="0" w:line="240" w:lineRule="auto"/>
              <w:rPr>
                <w:rFonts w:asciiTheme="majorHAnsi" w:eastAsia="Times New Roman" w:hAnsiTheme="majorHAnsi" w:cstheme="majorHAnsi"/>
                <w:b/>
                <w:bCs/>
                <w:sz w:val="16"/>
                <w:szCs w:val="16"/>
                <w:lang w:val="en-GB" w:eastAsia="et-EE"/>
              </w:rPr>
            </w:pPr>
            <w:r>
              <w:rPr>
                <w:rFonts w:asciiTheme="majorHAnsi" w:eastAsia="Times New Roman" w:hAnsiTheme="majorHAnsi" w:cstheme="majorHAnsi"/>
                <w:b/>
                <w:bCs/>
                <w:sz w:val="16"/>
                <w:szCs w:val="16"/>
                <w:lang w:val="en-GB" w:eastAsia="et-EE"/>
              </w:rPr>
              <w:t>FN</w:t>
            </w:r>
            <w:r w:rsidR="00DB1F4D" w:rsidRPr="005053C3">
              <w:rPr>
                <w:rFonts w:asciiTheme="majorHAnsi" w:eastAsia="Times New Roman" w:hAnsiTheme="majorHAnsi" w:cstheme="majorHAnsi"/>
                <w:b/>
                <w:bCs/>
                <w:sz w:val="16"/>
                <w:szCs w:val="16"/>
                <w:lang w:val="en-GB" w:eastAsia="et-EE"/>
              </w:rPr>
              <w:t xml:space="preserve"> monthly salary with bonus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14:paraId="551D4B7B" w14:textId="04A357CA" w:rsidR="00DB1F4D" w:rsidRPr="005053C3" w:rsidRDefault="00DB1F4D" w:rsidP="002E590D">
            <w:pPr>
              <w:spacing w:after="0" w:line="240" w:lineRule="auto"/>
              <w:jc w:val="center"/>
              <w:rPr>
                <w:rFonts w:asciiTheme="majorHAnsi" w:eastAsia="Times New Roman" w:hAnsiTheme="majorHAnsi" w:cstheme="majorHAnsi"/>
                <w:b/>
                <w:bCs/>
                <w:sz w:val="16"/>
                <w:szCs w:val="16"/>
                <w:lang w:val="en-GB" w:eastAsia="et-EE"/>
              </w:rPr>
            </w:pPr>
            <w:r w:rsidRPr="005053C3">
              <w:rPr>
                <w:rFonts w:asciiTheme="majorHAnsi" w:eastAsia="Times New Roman" w:hAnsiTheme="majorHAnsi" w:cstheme="majorHAnsi"/>
                <w:b/>
                <w:bCs/>
                <w:sz w:val="16"/>
                <w:szCs w:val="16"/>
                <w:lang w:val="en-GB" w:eastAsia="et-EE"/>
              </w:rPr>
              <w:t>m</w:t>
            </w:r>
            <w:r w:rsidR="30BFA139" w:rsidRPr="005053C3">
              <w:rPr>
                <w:rFonts w:asciiTheme="majorHAnsi" w:eastAsia="Times New Roman" w:hAnsiTheme="majorHAnsi" w:cstheme="majorHAnsi"/>
                <w:b/>
                <w:bCs/>
                <w:sz w:val="16"/>
                <w:szCs w:val="16"/>
                <w:vertAlign w:val="superscript"/>
                <w:lang w:val="en-GB" w:eastAsia="et-EE"/>
              </w:rPr>
              <w:t>2</w:t>
            </w:r>
            <w:r w:rsidRPr="005053C3">
              <w:rPr>
                <w:rFonts w:asciiTheme="majorHAnsi" w:eastAsia="Times New Roman" w:hAnsiTheme="majorHAnsi" w:cstheme="majorHAnsi"/>
                <w:b/>
                <w:bCs/>
                <w:sz w:val="16"/>
                <w:szCs w:val="16"/>
                <w:lang w:val="en-GB" w:eastAsia="et-EE"/>
              </w:rPr>
              <w:t xml:space="preserve"> per FD</w:t>
            </w:r>
            <w:r w:rsidR="2F0BC8EB" w:rsidRPr="005053C3">
              <w:rPr>
                <w:rFonts w:asciiTheme="majorHAnsi" w:eastAsia="Times New Roman" w:hAnsiTheme="majorHAnsi" w:cstheme="majorHAnsi"/>
                <w:b/>
                <w:bCs/>
                <w:sz w:val="16"/>
                <w:szCs w:val="16"/>
                <w:lang w:val="en-GB" w:eastAsia="et-EE"/>
              </w:rPr>
              <w:t xml:space="preserve"> </w:t>
            </w:r>
            <w:r w:rsidRPr="005053C3">
              <w:rPr>
                <w:rFonts w:asciiTheme="majorHAnsi" w:eastAsia="Times New Roman" w:hAnsiTheme="majorHAnsi" w:cstheme="majorHAnsi"/>
                <w:b/>
                <w:bCs/>
                <w:sz w:val="16"/>
                <w:szCs w:val="16"/>
                <w:lang w:val="en-GB" w:eastAsia="et-EE"/>
              </w:rPr>
              <w:t xml:space="preserve">and </w:t>
            </w:r>
            <w:r w:rsidR="00C73F6E">
              <w:rPr>
                <w:rFonts w:asciiTheme="majorHAnsi" w:eastAsia="Times New Roman" w:hAnsiTheme="majorHAnsi" w:cstheme="majorHAnsi"/>
                <w:b/>
                <w:bCs/>
                <w:sz w:val="16"/>
                <w:szCs w:val="16"/>
                <w:lang w:val="en-GB" w:eastAsia="et-EE"/>
              </w:rPr>
              <w:t>FN</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5FE58892" w14:textId="7DD9C65C" w:rsidR="00DB1F4D" w:rsidRPr="005053C3" w:rsidRDefault="00DB1F4D" w:rsidP="002E590D">
            <w:pPr>
              <w:spacing w:after="0" w:line="240" w:lineRule="auto"/>
              <w:jc w:val="center"/>
              <w:rPr>
                <w:rFonts w:asciiTheme="majorHAnsi" w:eastAsia="Times New Roman" w:hAnsiTheme="majorHAnsi" w:cstheme="majorHAnsi"/>
                <w:b/>
                <w:bCs/>
                <w:sz w:val="16"/>
                <w:szCs w:val="16"/>
                <w:lang w:val="en-GB" w:eastAsia="et-EE"/>
              </w:rPr>
            </w:pPr>
            <w:r w:rsidRPr="005053C3">
              <w:rPr>
                <w:rFonts w:asciiTheme="majorHAnsi" w:eastAsia="Times New Roman" w:hAnsiTheme="majorHAnsi" w:cstheme="majorHAnsi"/>
                <w:b/>
                <w:bCs/>
                <w:sz w:val="16"/>
                <w:szCs w:val="16"/>
                <w:lang w:val="en-GB" w:eastAsia="et-EE"/>
              </w:rPr>
              <w:t>Rent per m</w:t>
            </w:r>
            <w:r w:rsidR="7CF9DB0E" w:rsidRPr="005053C3">
              <w:rPr>
                <w:rFonts w:asciiTheme="majorHAnsi" w:eastAsia="Times New Roman" w:hAnsiTheme="majorHAnsi" w:cstheme="majorHAnsi"/>
                <w:b/>
                <w:bCs/>
                <w:sz w:val="16"/>
                <w:szCs w:val="16"/>
                <w:vertAlign w:val="superscript"/>
                <w:lang w:val="en-GB" w:eastAsia="et-EE"/>
              </w:rPr>
              <w:t>2</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03B52F8C" w14:textId="77777777" w:rsidR="00DB1F4D" w:rsidRPr="005053C3" w:rsidRDefault="00DB1F4D" w:rsidP="002E590D">
            <w:pPr>
              <w:spacing w:after="0" w:line="240" w:lineRule="auto"/>
              <w:jc w:val="center"/>
              <w:rPr>
                <w:rFonts w:asciiTheme="majorHAnsi" w:eastAsia="Times New Roman" w:hAnsiTheme="majorHAnsi" w:cstheme="majorHAnsi"/>
                <w:b/>
                <w:bCs/>
                <w:sz w:val="16"/>
                <w:szCs w:val="16"/>
                <w:lang w:val="en-GB" w:eastAsia="et-EE"/>
              </w:rPr>
            </w:pPr>
            <w:r w:rsidRPr="005053C3">
              <w:rPr>
                <w:rFonts w:asciiTheme="majorHAnsi" w:eastAsia="Times New Roman" w:hAnsiTheme="majorHAnsi" w:cstheme="majorHAnsi"/>
                <w:b/>
                <w:bCs/>
                <w:sz w:val="16"/>
                <w:szCs w:val="16"/>
                <w:lang w:val="en-GB" w:eastAsia="et-EE"/>
              </w:rPr>
              <w:t>Office equipment per FD</w:t>
            </w:r>
          </w:p>
        </w:tc>
        <w:tc>
          <w:tcPr>
            <w:tcW w:w="673" w:type="dxa"/>
            <w:tcBorders>
              <w:top w:val="single" w:sz="4" w:space="0" w:color="auto"/>
              <w:left w:val="nil"/>
              <w:bottom w:val="single" w:sz="4" w:space="0" w:color="auto"/>
              <w:right w:val="single" w:sz="4" w:space="0" w:color="auto"/>
            </w:tcBorders>
            <w:shd w:val="clear" w:color="auto" w:fill="auto"/>
            <w:vAlign w:val="center"/>
            <w:hideMark/>
          </w:tcPr>
          <w:p w14:paraId="58EDAD8E" w14:textId="77777777" w:rsidR="00DB1F4D" w:rsidRPr="005053C3" w:rsidRDefault="00DB1F4D" w:rsidP="002E590D">
            <w:pPr>
              <w:spacing w:after="0" w:line="240" w:lineRule="auto"/>
              <w:jc w:val="center"/>
              <w:rPr>
                <w:rFonts w:asciiTheme="majorHAnsi" w:eastAsia="Times New Roman" w:hAnsiTheme="majorHAnsi" w:cstheme="majorHAnsi"/>
                <w:b/>
                <w:bCs/>
                <w:sz w:val="16"/>
                <w:szCs w:val="16"/>
                <w:lang w:val="en-GB" w:eastAsia="et-EE"/>
              </w:rPr>
            </w:pPr>
            <w:r w:rsidRPr="005053C3">
              <w:rPr>
                <w:rFonts w:asciiTheme="majorHAnsi" w:eastAsia="Times New Roman" w:hAnsiTheme="majorHAnsi" w:cstheme="majorHAnsi"/>
                <w:b/>
                <w:bCs/>
                <w:sz w:val="16"/>
                <w:szCs w:val="16"/>
                <w:lang w:val="en-GB" w:eastAsia="et-EE"/>
              </w:rPr>
              <w:t>Office supplies per FD</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3127F40F" w14:textId="77777777" w:rsidR="00DB1F4D" w:rsidRPr="005053C3" w:rsidRDefault="00DB1F4D" w:rsidP="002E590D">
            <w:pPr>
              <w:spacing w:after="0" w:line="240" w:lineRule="auto"/>
              <w:jc w:val="center"/>
              <w:rPr>
                <w:rFonts w:asciiTheme="majorHAnsi" w:eastAsia="Times New Roman" w:hAnsiTheme="majorHAnsi" w:cstheme="majorHAnsi"/>
                <w:b/>
                <w:bCs/>
                <w:sz w:val="16"/>
                <w:szCs w:val="16"/>
                <w:lang w:val="en-GB" w:eastAsia="et-EE"/>
              </w:rPr>
            </w:pPr>
            <w:r w:rsidRPr="005053C3">
              <w:rPr>
                <w:rFonts w:asciiTheme="majorHAnsi" w:eastAsia="Times New Roman" w:hAnsiTheme="majorHAnsi" w:cstheme="majorHAnsi"/>
                <w:b/>
                <w:bCs/>
                <w:sz w:val="16"/>
                <w:szCs w:val="16"/>
                <w:lang w:val="en-GB" w:eastAsia="et-EE"/>
              </w:rPr>
              <w:t>Per FD communication costs</w:t>
            </w:r>
          </w:p>
        </w:tc>
        <w:tc>
          <w:tcPr>
            <w:tcW w:w="673" w:type="dxa"/>
            <w:tcBorders>
              <w:top w:val="single" w:sz="4" w:space="0" w:color="auto"/>
              <w:left w:val="nil"/>
              <w:bottom w:val="single" w:sz="4" w:space="0" w:color="auto"/>
              <w:right w:val="single" w:sz="4" w:space="0" w:color="auto"/>
            </w:tcBorders>
            <w:shd w:val="clear" w:color="auto" w:fill="auto"/>
            <w:vAlign w:val="center"/>
            <w:hideMark/>
          </w:tcPr>
          <w:p w14:paraId="64CAA443" w14:textId="77777777" w:rsidR="00DB1F4D" w:rsidRPr="005053C3" w:rsidRDefault="00DB1F4D" w:rsidP="002E590D">
            <w:pPr>
              <w:spacing w:after="0" w:line="240" w:lineRule="auto"/>
              <w:jc w:val="center"/>
              <w:rPr>
                <w:rFonts w:asciiTheme="majorHAnsi" w:eastAsia="Times New Roman" w:hAnsiTheme="majorHAnsi" w:cstheme="majorHAnsi"/>
                <w:b/>
                <w:bCs/>
                <w:sz w:val="16"/>
                <w:szCs w:val="16"/>
                <w:lang w:val="en-GB" w:eastAsia="et-EE"/>
              </w:rPr>
            </w:pPr>
            <w:r w:rsidRPr="005053C3">
              <w:rPr>
                <w:rFonts w:asciiTheme="majorHAnsi" w:eastAsia="Times New Roman" w:hAnsiTheme="majorHAnsi" w:cstheme="majorHAnsi"/>
                <w:b/>
                <w:bCs/>
                <w:sz w:val="16"/>
                <w:szCs w:val="16"/>
                <w:lang w:val="en-GB" w:eastAsia="et-EE"/>
              </w:rPr>
              <w:t xml:space="preserve"> Medical devices per FD</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4D0C7CC0" w14:textId="75CC2AEF" w:rsidR="00DB1F4D" w:rsidRPr="005053C3" w:rsidRDefault="63B75452" w:rsidP="002E590D">
            <w:pPr>
              <w:spacing w:after="0" w:line="240" w:lineRule="auto"/>
              <w:jc w:val="center"/>
              <w:rPr>
                <w:rFonts w:asciiTheme="majorHAnsi" w:eastAsia="Times New Roman" w:hAnsiTheme="majorHAnsi" w:cstheme="majorHAnsi"/>
                <w:b/>
                <w:bCs/>
                <w:sz w:val="16"/>
                <w:szCs w:val="16"/>
                <w:lang w:val="en-GB" w:eastAsia="et-EE"/>
              </w:rPr>
            </w:pPr>
            <w:r w:rsidRPr="005053C3">
              <w:rPr>
                <w:rFonts w:asciiTheme="majorHAnsi" w:eastAsia="Times New Roman" w:hAnsiTheme="majorHAnsi" w:cstheme="majorHAnsi"/>
                <w:b/>
                <w:bCs/>
                <w:sz w:val="16"/>
                <w:szCs w:val="16"/>
                <w:lang w:val="en-GB" w:eastAsia="et-EE"/>
              </w:rPr>
              <w:t xml:space="preserve">Disposable </w:t>
            </w:r>
            <w:r w:rsidR="30613445" w:rsidRPr="005053C3">
              <w:rPr>
                <w:rFonts w:asciiTheme="majorHAnsi" w:eastAsia="Times New Roman" w:hAnsiTheme="majorHAnsi" w:cstheme="majorHAnsi"/>
                <w:b/>
                <w:bCs/>
                <w:sz w:val="16"/>
                <w:szCs w:val="16"/>
                <w:lang w:val="en-GB" w:eastAsia="et-EE"/>
              </w:rPr>
              <w:t>equipment</w:t>
            </w:r>
            <w:r w:rsidRPr="005053C3">
              <w:rPr>
                <w:rFonts w:asciiTheme="majorHAnsi" w:eastAsia="Times New Roman" w:hAnsiTheme="majorHAnsi" w:cstheme="majorHAnsi"/>
                <w:b/>
                <w:bCs/>
                <w:sz w:val="16"/>
                <w:szCs w:val="16"/>
                <w:lang w:val="en-GB" w:eastAsia="et-EE"/>
              </w:rPr>
              <w:t xml:space="preserve"> per FD</w:t>
            </w:r>
          </w:p>
        </w:tc>
        <w:tc>
          <w:tcPr>
            <w:tcW w:w="673" w:type="dxa"/>
            <w:tcBorders>
              <w:top w:val="single" w:sz="4" w:space="0" w:color="auto"/>
              <w:left w:val="nil"/>
              <w:bottom w:val="single" w:sz="4" w:space="0" w:color="auto"/>
              <w:right w:val="single" w:sz="4" w:space="0" w:color="auto"/>
            </w:tcBorders>
            <w:shd w:val="clear" w:color="auto" w:fill="auto"/>
            <w:vAlign w:val="center"/>
            <w:hideMark/>
          </w:tcPr>
          <w:p w14:paraId="731AA67E" w14:textId="77777777" w:rsidR="00DB1F4D" w:rsidRPr="005053C3" w:rsidRDefault="00DB1F4D" w:rsidP="002E590D">
            <w:pPr>
              <w:spacing w:after="0" w:line="240" w:lineRule="auto"/>
              <w:jc w:val="center"/>
              <w:rPr>
                <w:rFonts w:asciiTheme="majorHAnsi" w:eastAsia="Times New Roman" w:hAnsiTheme="majorHAnsi" w:cstheme="majorHAnsi"/>
                <w:b/>
                <w:bCs/>
                <w:sz w:val="16"/>
                <w:szCs w:val="16"/>
                <w:lang w:val="en-GB" w:eastAsia="et-EE"/>
              </w:rPr>
            </w:pPr>
            <w:r w:rsidRPr="005053C3">
              <w:rPr>
                <w:rFonts w:asciiTheme="majorHAnsi" w:eastAsia="Times New Roman" w:hAnsiTheme="majorHAnsi" w:cstheme="majorHAnsi"/>
                <w:b/>
                <w:bCs/>
                <w:sz w:val="16"/>
                <w:szCs w:val="16"/>
                <w:lang w:val="en-GB" w:eastAsia="et-EE"/>
              </w:rPr>
              <w:t>COVID per FD</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60721A52" w14:textId="6AE5179D" w:rsidR="00DB1F4D" w:rsidRPr="005053C3" w:rsidRDefault="71C16AF9" w:rsidP="002E590D">
            <w:pPr>
              <w:spacing w:after="0" w:line="240" w:lineRule="auto"/>
              <w:jc w:val="center"/>
              <w:rPr>
                <w:rFonts w:asciiTheme="majorHAnsi" w:eastAsia="Times New Roman" w:hAnsiTheme="majorHAnsi" w:cstheme="majorHAnsi"/>
                <w:b/>
                <w:bCs/>
                <w:sz w:val="16"/>
                <w:szCs w:val="16"/>
                <w:lang w:val="en-GB" w:eastAsia="et-EE"/>
              </w:rPr>
            </w:pPr>
            <w:r w:rsidRPr="005053C3">
              <w:rPr>
                <w:rFonts w:asciiTheme="majorHAnsi" w:eastAsia="Times New Roman" w:hAnsiTheme="majorHAnsi" w:cstheme="majorHAnsi"/>
                <w:b/>
                <w:bCs/>
                <w:sz w:val="16"/>
                <w:szCs w:val="16"/>
                <w:lang w:val="en-GB" w:eastAsia="et-EE"/>
              </w:rPr>
              <w:t xml:space="preserve">Medicines </w:t>
            </w:r>
            <w:r w:rsidR="00DB1F4D" w:rsidRPr="005053C3">
              <w:rPr>
                <w:rFonts w:asciiTheme="majorHAnsi" w:eastAsia="Times New Roman" w:hAnsiTheme="majorHAnsi" w:cstheme="majorHAnsi"/>
                <w:b/>
                <w:bCs/>
                <w:sz w:val="16"/>
                <w:szCs w:val="16"/>
                <w:lang w:val="en-GB" w:eastAsia="et-EE"/>
              </w:rPr>
              <w:t>per FD</w:t>
            </w:r>
          </w:p>
        </w:tc>
        <w:tc>
          <w:tcPr>
            <w:tcW w:w="673" w:type="dxa"/>
            <w:tcBorders>
              <w:top w:val="single" w:sz="4" w:space="0" w:color="auto"/>
              <w:left w:val="nil"/>
              <w:bottom w:val="single" w:sz="4" w:space="0" w:color="auto"/>
              <w:right w:val="single" w:sz="4" w:space="0" w:color="auto"/>
            </w:tcBorders>
            <w:shd w:val="clear" w:color="auto" w:fill="auto"/>
            <w:vAlign w:val="center"/>
            <w:hideMark/>
          </w:tcPr>
          <w:p w14:paraId="1468A105" w14:textId="77777777" w:rsidR="00DB1F4D" w:rsidRPr="005053C3" w:rsidRDefault="00DB1F4D" w:rsidP="002E590D">
            <w:pPr>
              <w:spacing w:after="0" w:line="240" w:lineRule="auto"/>
              <w:rPr>
                <w:rFonts w:asciiTheme="majorHAnsi" w:eastAsia="Times New Roman" w:hAnsiTheme="majorHAnsi" w:cstheme="majorHAnsi"/>
                <w:b/>
                <w:bCs/>
                <w:sz w:val="16"/>
                <w:szCs w:val="16"/>
                <w:lang w:val="en-GB" w:eastAsia="et-EE"/>
              </w:rPr>
            </w:pPr>
            <w:r w:rsidRPr="005053C3">
              <w:rPr>
                <w:rFonts w:asciiTheme="majorHAnsi" w:eastAsia="Times New Roman" w:hAnsiTheme="majorHAnsi" w:cstheme="majorHAnsi"/>
                <w:b/>
                <w:bCs/>
                <w:sz w:val="16"/>
                <w:szCs w:val="16"/>
                <w:lang w:val="en-GB" w:eastAsia="et-EE"/>
              </w:rPr>
              <w:t>Management costs per FD</w:t>
            </w:r>
          </w:p>
        </w:tc>
        <w:tc>
          <w:tcPr>
            <w:tcW w:w="671" w:type="dxa"/>
            <w:tcBorders>
              <w:top w:val="single" w:sz="4" w:space="0" w:color="auto"/>
              <w:left w:val="nil"/>
              <w:bottom w:val="single" w:sz="4" w:space="0" w:color="auto"/>
              <w:right w:val="single" w:sz="4" w:space="0" w:color="auto"/>
            </w:tcBorders>
            <w:shd w:val="clear" w:color="auto" w:fill="auto"/>
            <w:vAlign w:val="center"/>
            <w:hideMark/>
          </w:tcPr>
          <w:p w14:paraId="0CF5FF82" w14:textId="77777777" w:rsidR="00DB1F4D" w:rsidRPr="005053C3" w:rsidRDefault="00DB1F4D" w:rsidP="002E590D">
            <w:pPr>
              <w:spacing w:after="0" w:line="240" w:lineRule="auto"/>
              <w:jc w:val="center"/>
              <w:rPr>
                <w:rFonts w:asciiTheme="majorHAnsi" w:eastAsia="Times New Roman" w:hAnsiTheme="majorHAnsi" w:cstheme="majorHAnsi"/>
                <w:b/>
                <w:bCs/>
                <w:sz w:val="16"/>
                <w:szCs w:val="16"/>
                <w:lang w:val="en-GB" w:eastAsia="et-EE"/>
              </w:rPr>
            </w:pPr>
            <w:r w:rsidRPr="005053C3">
              <w:rPr>
                <w:rFonts w:asciiTheme="majorHAnsi" w:eastAsia="Times New Roman" w:hAnsiTheme="majorHAnsi" w:cstheme="majorHAnsi"/>
                <w:b/>
                <w:bCs/>
                <w:sz w:val="16"/>
                <w:szCs w:val="16"/>
                <w:lang w:val="en-GB" w:eastAsia="et-EE"/>
              </w:rPr>
              <w:t>Total costs per FD without rent (monthly)</w:t>
            </w:r>
          </w:p>
        </w:tc>
        <w:tc>
          <w:tcPr>
            <w:tcW w:w="673" w:type="dxa"/>
            <w:tcBorders>
              <w:top w:val="single" w:sz="4" w:space="0" w:color="auto"/>
              <w:left w:val="nil"/>
              <w:bottom w:val="single" w:sz="4" w:space="0" w:color="auto"/>
              <w:right w:val="single" w:sz="4" w:space="0" w:color="auto"/>
            </w:tcBorders>
            <w:shd w:val="clear" w:color="auto" w:fill="auto"/>
            <w:vAlign w:val="center"/>
            <w:hideMark/>
          </w:tcPr>
          <w:p w14:paraId="5457C4AA" w14:textId="77777777" w:rsidR="00DB1F4D" w:rsidRPr="005053C3" w:rsidRDefault="00DB1F4D" w:rsidP="002E590D">
            <w:pPr>
              <w:spacing w:after="0" w:line="240" w:lineRule="auto"/>
              <w:jc w:val="center"/>
              <w:rPr>
                <w:rFonts w:asciiTheme="majorHAnsi" w:eastAsia="Times New Roman" w:hAnsiTheme="majorHAnsi" w:cstheme="majorHAnsi"/>
                <w:b/>
                <w:bCs/>
                <w:sz w:val="16"/>
                <w:szCs w:val="16"/>
                <w:lang w:val="en-GB" w:eastAsia="et-EE"/>
              </w:rPr>
            </w:pPr>
            <w:r w:rsidRPr="005053C3">
              <w:rPr>
                <w:rFonts w:asciiTheme="majorHAnsi" w:eastAsia="Times New Roman" w:hAnsiTheme="majorHAnsi" w:cstheme="majorHAnsi"/>
                <w:b/>
                <w:bCs/>
                <w:sz w:val="16"/>
                <w:szCs w:val="16"/>
                <w:lang w:val="en-GB" w:eastAsia="et-EE"/>
              </w:rPr>
              <w:t>Total costs per FD</w:t>
            </w:r>
          </w:p>
        </w:tc>
      </w:tr>
      <w:tr w:rsidR="00DB1F4D" w:rsidRPr="005053C3" w14:paraId="734D9E86" w14:textId="77777777" w:rsidTr="195A9735">
        <w:trPr>
          <w:trHeight w:val="131"/>
        </w:trPr>
        <w:tc>
          <w:tcPr>
            <w:tcW w:w="988" w:type="dxa"/>
            <w:tcBorders>
              <w:top w:val="nil"/>
              <w:left w:val="single" w:sz="4" w:space="0" w:color="auto"/>
              <w:bottom w:val="single" w:sz="4" w:space="0" w:color="auto"/>
              <w:right w:val="single" w:sz="4" w:space="0" w:color="auto"/>
            </w:tcBorders>
            <w:shd w:val="clear" w:color="auto" w:fill="auto"/>
            <w:hideMark/>
          </w:tcPr>
          <w:p w14:paraId="6A0A1E39"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Provider 1</w:t>
            </w:r>
          </w:p>
        </w:tc>
        <w:tc>
          <w:tcPr>
            <w:tcW w:w="622" w:type="dxa"/>
            <w:tcBorders>
              <w:top w:val="nil"/>
              <w:left w:val="nil"/>
              <w:bottom w:val="single" w:sz="4" w:space="0" w:color="auto"/>
              <w:right w:val="single" w:sz="4" w:space="0" w:color="auto"/>
            </w:tcBorders>
            <w:shd w:val="clear" w:color="auto" w:fill="auto"/>
            <w:noWrap/>
            <w:hideMark/>
          </w:tcPr>
          <w:p w14:paraId="213670D6"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Batumi city</w:t>
            </w:r>
          </w:p>
        </w:tc>
        <w:tc>
          <w:tcPr>
            <w:tcW w:w="798" w:type="dxa"/>
            <w:tcBorders>
              <w:top w:val="nil"/>
              <w:left w:val="nil"/>
              <w:bottom w:val="single" w:sz="4" w:space="0" w:color="auto"/>
              <w:right w:val="single" w:sz="4" w:space="0" w:color="auto"/>
            </w:tcBorders>
            <w:shd w:val="clear" w:color="auto" w:fill="auto"/>
            <w:noWrap/>
            <w:hideMark/>
          </w:tcPr>
          <w:p w14:paraId="40938C72"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Urban</w:t>
            </w:r>
          </w:p>
        </w:tc>
        <w:tc>
          <w:tcPr>
            <w:tcW w:w="671" w:type="dxa"/>
            <w:tcBorders>
              <w:top w:val="nil"/>
              <w:left w:val="nil"/>
              <w:bottom w:val="single" w:sz="4" w:space="0" w:color="auto"/>
              <w:right w:val="single" w:sz="4" w:space="0" w:color="auto"/>
            </w:tcBorders>
            <w:shd w:val="clear" w:color="auto" w:fill="auto"/>
            <w:noWrap/>
            <w:hideMark/>
          </w:tcPr>
          <w:p w14:paraId="777FCEEC"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48 000</w:t>
            </w:r>
          </w:p>
        </w:tc>
        <w:tc>
          <w:tcPr>
            <w:tcW w:w="671" w:type="dxa"/>
            <w:tcBorders>
              <w:top w:val="nil"/>
              <w:left w:val="nil"/>
              <w:bottom w:val="single" w:sz="4" w:space="0" w:color="auto"/>
              <w:right w:val="single" w:sz="4" w:space="0" w:color="auto"/>
            </w:tcBorders>
            <w:shd w:val="clear" w:color="auto" w:fill="auto"/>
            <w:noWrap/>
            <w:vAlign w:val="bottom"/>
            <w:hideMark/>
          </w:tcPr>
          <w:p w14:paraId="7D3227F2"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40 000</w:t>
            </w:r>
          </w:p>
        </w:tc>
        <w:tc>
          <w:tcPr>
            <w:tcW w:w="673" w:type="dxa"/>
            <w:tcBorders>
              <w:top w:val="nil"/>
              <w:left w:val="nil"/>
              <w:bottom w:val="single" w:sz="4" w:space="0" w:color="auto"/>
              <w:right w:val="single" w:sz="4" w:space="0" w:color="auto"/>
            </w:tcBorders>
            <w:shd w:val="clear" w:color="auto" w:fill="auto"/>
            <w:noWrap/>
            <w:vAlign w:val="bottom"/>
            <w:hideMark/>
          </w:tcPr>
          <w:p w14:paraId="083364A1"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1,59</w:t>
            </w:r>
          </w:p>
        </w:tc>
        <w:tc>
          <w:tcPr>
            <w:tcW w:w="671" w:type="dxa"/>
            <w:tcBorders>
              <w:top w:val="nil"/>
              <w:left w:val="nil"/>
              <w:bottom w:val="single" w:sz="4" w:space="0" w:color="auto"/>
              <w:right w:val="single" w:sz="4" w:space="0" w:color="auto"/>
            </w:tcBorders>
            <w:shd w:val="clear" w:color="auto" w:fill="auto"/>
            <w:noWrap/>
            <w:vAlign w:val="bottom"/>
            <w:hideMark/>
          </w:tcPr>
          <w:p w14:paraId="36A835C0"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3,49</w:t>
            </w:r>
          </w:p>
        </w:tc>
        <w:tc>
          <w:tcPr>
            <w:tcW w:w="673" w:type="dxa"/>
            <w:tcBorders>
              <w:top w:val="nil"/>
              <w:left w:val="nil"/>
              <w:bottom w:val="single" w:sz="4" w:space="0" w:color="auto"/>
              <w:right w:val="single" w:sz="4" w:space="0" w:color="auto"/>
            </w:tcBorders>
            <w:shd w:val="clear" w:color="auto" w:fill="auto"/>
            <w:noWrap/>
            <w:vAlign w:val="bottom"/>
            <w:hideMark/>
          </w:tcPr>
          <w:p w14:paraId="6E22E89B"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1 196</w:t>
            </w:r>
          </w:p>
        </w:tc>
        <w:tc>
          <w:tcPr>
            <w:tcW w:w="671" w:type="dxa"/>
            <w:tcBorders>
              <w:top w:val="nil"/>
              <w:left w:val="nil"/>
              <w:bottom w:val="single" w:sz="4" w:space="0" w:color="auto"/>
              <w:right w:val="single" w:sz="4" w:space="0" w:color="auto"/>
            </w:tcBorders>
            <w:shd w:val="clear" w:color="auto" w:fill="auto"/>
            <w:noWrap/>
            <w:vAlign w:val="bottom"/>
            <w:hideMark/>
          </w:tcPr>
          <w:p w14:paraId="4C4264B0"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650</w:t>
            </w:r>
          </w:p>
        </w:tc>
        <w:tc>
          <w:tcPr>
            <w:tcW w:w="673" w:type="dxa"/>
            <w:tcBorders>
              <w:top w:val="nil"/>
              <w:left w:val="nil"/>
              <w:bottom w:val="single" w:sz="4" w:space="0" w:color="auto"/>
              <w:right w:val="single" w:sz="4" w:space="0" w:color="auto"/>
            </w:tcBorders>
            <w:shd w:val="clear" w:color="auto" w:fill="auto"/>
            <w:noWrap/>
            <w:vAlign w:val="bottom"/>
            <w:hideMark/>
          </w:tcPr>
          <w:p w14:paraId="2A1DA0CF"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1 495</w:t>
            </w:r>
          </w:p>
        </w:tc>
        <w:tc>
          <w:tcPr>
            <w:tcW w:w="671" w:type="dxa"/>
            <w:tcBorders>
              <w:top w:val="nil"/>
              <w:left w:val="nil"/>
              <w:bottom w:val="single" w:sz="4" w:space="0" w:color="auto"/>
              <w:right w:val="single" w:sz="4" w:space="0" w:color="auto"/>
            </w:tcBorders>
            <w:shd w:val="clear" w:color="auto" w:fill="auto"/>
            <w:noWrap/>
            <w:vAlign w:val="bottom"/>
            <w:hideMark/>
          </w:tcPr>
          <w:p w14:paraId="4DAEFC1E"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813</w:t>
            </w:r>
          </w:p>
        </w:tc>
        <w:tc>
          <w:tcPr>
            <w:tcW w:w="673" w:type="dxa"/>
            <w:tcBorders>
              <w:top w:val="nil"/>
              <w:left w:val="nil"/>
              <w:bottom w:val="single" w:sz="4" w:space="0" w:color="auto"/>
              <w:right w:val="single" w:sz="4" w:space="0" w:color="auto"/>
            </w:tcBorders>
            <w:shd w:val="clear" w:color="auto" w:fill="auto"/>
            <w:noWrap/>
            <w:vAlign w:val="center"/>
            <w:hideMark/>
          </w:tcPr>
          <w:p w14:paraId="4D0AD959"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15</w:t>
            </w:r>
          </w:p>
        </w:tc>
        <w:tc>
          <w:tcPr>
            <w:tcW w:w="671" w:type="dxa"/>
            <w:tcBorders>
              <w:top w:val="nil"/>
              <w:left w:val="nil"/>
              <w:bottom w:val="single" w:sz="4" w:space="0" w:color="auto"/>
              <w:right w:val="single" w:sz="4" w:space="0" w:color="auto"/>
            </w:tcBorders>
            <w:shd w:val="clear" w:color="auto" w:fill="auto"/>
            <w:noWrap/>
            <w:vAlign w:val="center"/>
            <w:hideMark/>
          </w:tcPr>
          <w:p w14:paraId="34410BFE"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25</w:t>
            </w:r>
          </w:p>
        </w:tc>
        <w:tc>
          <w:tcPr>
            <w:tcW w:w="671" w:type="dxa"/>
            <w:tcBorders>
              <w:top w:val="nil"/>
              <w:left w:val="nil"/>
              <w:bottom w:val="single" w:sz="4" w:space="0" w:color="auto"/>
              <w:right w:val="single" w:sz="4" w:space="0" w:color="auto"/>
            </w:tcBorders>
            <w:shd w:val="clear" w:color="auto" w:fill="auto"/>
            <w:noWrap/>
            <w:vAlign w:val="center"/>
            <w:hideMark/>
          </w:tcPr>
          <w:p w14:paraId="3E75CEE3"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123</w:t>
            </w:r>
          </w:p>
        </w:tc>
        <w:tc>
          <w:tcPr>
            <w:tcW w:w="673" w:type="dxa"/>
            <w:tcBorders>
              <w:top w:val="nil"/>
              <w:left w:val="nil"/>
              <w:bottom w:val="single" w:sz="4" w:space="0" w:color="auto"/>
              <w:right w:val="single" w:sz="4" w:space="0" w:color="auto"/>
            </w:tcBorders>
            <w:shd w:val="clear" w:color="auto" w:fill="auto"/>
            <w:noWrap/>
            <w:vAlign w:val="center"/>
            <w:hideMark/>
          </w:tcPr>
          <w:p w14:paraId="488EBC79"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79</w:t>
            </w:r>
          </w:p>
        </w:tc>
        <w:tc>
          <w:tcPr>
            <w:tcW w:w="671" w:type="dxa"/>
            <w:tcBorders>
              <w:top w:val="nil"/>
              <w:left w:val="nil"/>
              <w:bottom w:val="single" w:sz="4" w:space="0" w:color="auto"/>
              <w:right w:val="single" w:sz="4" w:space="0" w:color="auto"/>
            </w:tcBorders>
            <w:shd w:val="clear" w:color="auto" w:fill="auto"/>
            <w:noWrap/>
            <w:vAlign w:val="center"/>
            <w:hideMark/>
          </w:tcPr>
          <w:p w14:paraId="26E137EA"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204</w:t>
            </w:r>
          </w:p>
        </w:tc>
        <w:tc>
          <w:tcPr>
            <w:tcW w:w="673" w:type="dxa"/>
            <w:tcBorders>
              <w:top w:val="nil"/>
              <w:left w:val="nil"/>
              <w:bottom w:val="single" w:sz="4" w:space="0" w:color="auto"/>
              <w:right w:val="single" w:sz="4" w:space="0" w:color="auto"/>
            </w:tcBorders>
            <w:shd w:val="clear" w:color="auto" w:fill="auto"/>
            <w:noWrap/>
            <w:vAlign w:val="bottom"/>
            <w:hideMark/>
          </w:tcPr>
          <w:p w14:paraId="292ACA33"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158</w:t>
            </w:r>
          </w:p>
        </w:tc>
        <w:tc>
          <w:tcPr>
            <w:tcW w:w="671" w:type="dxa"/>
            <w:tcBorders>
              <w:top w:val="nil"/>
              <w:left w:val="nil"/>
              <w:bottom w:val="single" w:sz="4" w:space="0" w:color="auto"/>
              <w:right w:val="single" w:sz="4" w:space="0" w:color="auto"/>
            </w:tcBorders>
            <w:shd w:val="clear" w:color="auto" w:fill="auto"/>
            <w:noWrap/>
            <w:vAlign w:val="bottom"/>
            <w:hideMark/>
          </w:tcPr>
          <w:p w14:paraId="699BD739"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7</w:t>
            </w:r>
          </w:p>
        </w:tc>
        <w:tc>
          <w:tcPr>
            <w:tcW w:w="673" w:type="dxa"/>
            <w:tcBorders>
              <w:top w:val="nil"/>
              <w:left w:val="nil"/>
              <w:bottom w:val="single" w:sz="4" w:space="0" w:color="auto"/>
              <w:right w:val="single" w:sz="4" w:space="0" w:color="auto"/>
            </w:tcBorders>
            <w:shd w:val="clear" w:color="auto" w:fill="auto"/>
            <w:noWrap/>
            <w:vAlign w:val="bottom"/>
            <w:hideMark/>
          </w:tcPr>
          <w:p w14:paraId="1A9C979A"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103</w:t>
            </w:r>
          </w:p>
        </w:tc>
        <w:tc>
          <w:tcPr>
            <w:tcW w:w="671" w:type="dxa"/>
            <w:tcBorders>
              <w:top w:val="nil"/>
              <w:left w:val="nil"/>
              <w:bottom w:val="single" w:sz="4" w:space="0" w:color="auto"/>
              <w:right w:val="single" w:sz="4" w:space="0" w:color="auto"/>
            </w:tcBorders>
            <w:shd w:val="clear" w:color="auto" w:fill="auto"/>
            <w:noWrap/>
            <w:vAlign w:val="bottom"/>
            <w:hideMark/>
          </w:tcPr>
          <w:p w14:paraId="0470A606"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5</w:t>
            </w:r>
          </w:p>
        </w:tc>
        <w:tc>
          <w:tcPr>
            <w:tcW w:w="673" w:type="dxa"/>
            <w:tcBorders>
              <w:top w:val="nil"/>
              <w:left w:val="nil"/>
              <w:bottom w:val="single" w:sz="4" w:space="0" w:color="auto"/>
              <w:right w:val="single" w:sz="4" w:space="0" w:color="auto"/>
            </w:tcBorders>
            <w:shd w:val="clear" w:color="auto" w:fill="auto"/>
            <w:noWrap/>
            <w:vAlign w:val="bottom"/>
            <w:hideMark/>
          </w:tcPr>
          <w:p w14:paraId="709DD4B2"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331</w:t>
            </w:r>
          </w:p>
        </w:tc>
        <w:tc>
          <w:tcPr>
            <w:tcW w:w="671" w:type="dxa"/>
            <w:tcBorders>
              <w:top w:val="nil"/>
              <w:left w:val="nil"/>
              <w:bottom w:val="single" w:sz="4" w:space="0" w:color="auto"/>
              <w:right w:val="single" w:sz="4" w:space="0" w:color="auto"/>
            </w:tcBorders>
            <w:shd w:val="clear" w:color="auto" w:fill="auto"/>
            <w:noWrap/>
            <w:vAlign w:val="bottom"/>
            <w:hideMark/>
          </w:tcPr>
          <w:p w14:paraId="71F5AA6B"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3 219</w:t>
            </w:r>
          </w:p>
        </w:tc>
        <w:tc>
          <w:tcPr>
            <w:tcW w:w="673" w:type="dxa"/>
            <w:tcBorders>
              <w:top w:val="nil"/>
              <w:left w:val="nil"/>
              <w:bottom w:val="single" w:sz="4" w:space="0" w:color="auto"/>
              <w:right w:val="single" w:sz="4" w:space="0" w:color="auto"/>
            </w:tcBorders>
            <w:shd w:val="clear" w:color="auto" w:fill="auto"/>
            <w:noWrap/>
            <w:vAlign w:val="bottom"/>
            <w:hideMark/>
          </w:tcPr>
          <w:p w14:paraId="7897D184"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3 961</w:t>
            </w:r>
          </w:p>
        </w:tc>
      </w:tr>
      <w:tr w:rsidR="00DB1F4D" w:rsidRPr="005053C3" w14:paraId="4CCF14FE" w14:textId="77777777" w:rsidTr="195A9735">
        <w:trPr>
          <w:trHeight w:val="131"/>
        </w:trPr>
        <w:tc>
          <w:tcPr>
            <w:tcW w:w="988" w:type="dxa"/>
            <w:tcBorders>
              <w:top w:val="nil"/>
              <w:left w:val="single" w:sz="4" w:space="0" w:color="auto"/>
              <w:bottom w:val="single" w:sz="4" w:space="0" w:color="auto"/>
              <w:right w:val="single" w:sz="4" w:space="0" w:color="auto"/>
            </w:tcBorders>
            <w:shd w:val="clear" w:color="auto" w:fill="auto"/>
            <w:hideMark/>
          </w:tcPr>
          <w:p w14:paraId="03C77857"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Provider 2</w:t>
            </w:r>
          </w:p>
        </w:tc>
        <w:tc>
          <w:tcPr>
            <w:tcW w:w="622" w:type="dxa"/>
            <w:tcBorders>
              <w:top w:val="nil"/>
              <w:left w:val="nil"/>
              <w:bottom w:val="single" w:sz="4" w:space="0" w:color="auto"/>
              <w:right w:val="single" w:sz="4" w:space="0" w:color="auto"/>
            </w:tcBorders>
            <w:shd w:val="clear" w:color="auto" w:fill="auto"/>
            <w:noWrap/>
            <w:hideMark/>
          </w:tcPr>
          <w:p w14:paraId="16604640"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Batumi city</w:t>
            </w:r>
          </w:p>
        </w:tc>
        <w:tc>
          <w:tcPr>
            <w:tcW w:w="798" w:type="dxa"/>
            <w:tcBorders>
              <w:top w:val="nil"/>
              <w:left w:val="nil"/>
              <w:bottom w:val="single" w:sz="4" w:space="0" w:color="auto"/>
              <w:right w:val="single" w:sz="4" w:space="0" w:color="auto"/>
            </w:tcBorders>
            <w:shd w:val="clear" w:color="auto" w:fill="auto"/>
            <w:noWrap/>
            <w:hideMark/>
          </w:tcPr>
          <w:p w14:paraId="0673B1E9" w14:textId="2139E11B" w:rsidR="00DB1F4D" w:rsidRPr="005053C3" w:rsidRDefault="12051F9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U</w:t>
            </w:r>
            <w:r w:rsidR="00DB1F4D" w:rsidRPr="005053C3">
              <w:rPr>
                <w:rFonts w:asciiTheme="majorHAnsi" w:eastAsia="Times New Roman" w:hAnsiTheme="majorHAnsi" w:cstheme="majorHAnsi"/>
                <w:sz w:val="16"/>
                <w:szCs w:val="16"/>
                <w:lang w:val="en-GB" w:eastAsia="et-EE"/>
              </w:rPr>
              <w:t>rban and rural</w:t>
            </w:r>
          </w:p>
        </w:tc>
        <w:tc>
          <w:tcPr>
            <w:tcW w:w="671" w:type="dxa"/>
            <w:tcBorders>
              <w:top w:val="nil"/>
              <w:left w:val="nil"/>
              <w:bottom w:val="single" w:sz="4" w:space="0" w:color="auto"/>
              <w:right w:val="single" w:sz="4" w:space="0" w:color="auto"/>
            </w:tcBorders>
            <w:shd w:val="clear" w:color="auto" w:fill="auto"/>
            <w:noWrap/>
            <w:hideMark/>
          </w:tcPr>
          <w:p w14:paraId="1F7CF503"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17 000</w:t>
            </w:r>
          </w:p>
        </w:tc>
        <w:tc>
          <w:tcPr>
            <w:tcW w:w="671" w:type="dxa"/>
            <w:tcBorders>
              <w:top w:val="nil"/>
              <w:left w:val="nil"/>
              <w:bottom w:val="single" w:sz="4" w:space="0" w:color="auto"/>
              <w:right w:val="single" w:sz="4" w:space="0" w:color="auto"/>
            </w:tcBorders>
            <w:shd w:val="clear" w:color="auto" w:fill="auto"/>
            <w:noWrap/>
            <w:vAlign w:val="bottom"/>
            <w:hideMark/>
          </w:tcPr>
          <w:p w14:paraId="17D044DE"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14 000</w:t>
            </w:r>
          </w:p>
        </w:tc>
        <w:tc>
          <w:tcPr>
            <w:tcW w:w="673" w:type="dxa"/>
            <w:tcBorders>
              <w:top w:val="nil"/>
              <w:left w:val="nil"/>
              <w:bottom w:val="single" w:sz="4" w:space="0" w:color="auto"/>
              <w:right w:val="single" w:sz="4" w:space="0" w:color="auto"/>
            </w:tcBorders>
            <w:shd w:val="clear" w:color="auto" w:fill="auto"/>
            <w:noWrap/>
            <w:vAlign w:val="bottom"/>
            <w:hideMark/>
          </w:tcPr>
          <w:p w14:paraId="2BEEA4C8"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1,55</w:t>
            </w:r>
          </w:p>
        </w:tc>
        <w:tc>
          <w:tcPr>
            <w:tcW w:w="671" w:type="dxa"/>
            <w:tcBorders>
              <w:top w:val="nil"/>
              <w:left w:val="nil"/>
              <w:bottom w:val="single" w:sz="4" w:space="0" w:color="auto"/>
              <w:right w:val="single" w:sz="4" w:space="0" w:color="auto"/>
            </w:tcBorders>
            <w:shd w:val="clear" w:color="auto" w:fill="auto"/>
            <w:noWrap/>
            <w:vAlign w:val="bottom"/>
            <w:hideMark/>
          </w:tcPr>
          <w:p w14:paraId="7D3465F8"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3,18</w:t>
            </w:r>
          </w:p>
        </w:tc>
        <w:tc>
          <w:tcPr>
            <w:tcW w:w="673" w:type="dxa"/>
            <w:tcBorders>
              <w:top w:val="nil"/>
              <w:left w:val="nil"/>
              <w:bottom w:val="single" w:sz="4" w:space="0" w:color="auto"/>
              <w:right w:val="single" w:sz="4" w:space="0" w:color="auto"/>
            </w:tcBorders>
            <w:shd w:val="clear" w:color="auto" w:fill="auto"/>
            <w:noWrap/>
            <w:vAlign w:val="bottom"/>
            <w:hideMark/>
          </w:tcPr>
          <w:p w14:paraId="5E38C8B6"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1 040</w:t>
            </w:r>
          </w:p>
        </w:tc>
        <w:tc>
          <w:tcPr>
            <w:tcW w:w="671" w:type="dxa"/>
            <w:tcBorders>
              <w:top w:val="nil"/>
              <w:left w:val="nil"/>
              <w:bottom w:val="single" w:sz="4" w:space="0" w:color="auto"/>
              <w:right w:val="single" w:sz="4" w:space="0" w:color="auto"/>
            </w:tcBorders>
            <w:shd w:val="clear" w:color="auto" w:fill="auto"/>
            <w:noWrap/>
            <w:vAlign w:val="bottom"/>
            <w:hideMark/>
          </w:tcPr>
          <w:p w14:paraId="4378E46E"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650</w:t>
            </w:r>
          </w:p>
        </w:tc>
        <w:tc>
          <w:tcPr>
            <w:tcW w:w="673" w:type="dxa"/>
            <w:tcBorders>
              <w:top w:val="nil"/>
              <w:left w:val="nil"/>
              <w:bottom w:val="single" w:sz="4" w:space="0" w:color="auto"/>
              <w:right w:val="single" w:sz="4" w:space="0" w:color="auto"/>
            </w:tcBorders>
            <w:shd w:val="clear" w:color="auto" w:fill="auto"/>
            <w:noWrap/>
            <w:vAlign w:val="bottom"/>
            <w:hideMark/>
          </w:tcPr>
          <w:p w14:paraId="0FE02289"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1 300</w:t>
            </w:r>
          </w:p>
        </w:tc>
        <w:tc>
          <w:tcPr>
            <w:tcW w:w="671" w:type="dxa"/>
            <w:tcBorders>
              <w:top w:val="nil"/>
              <w:left w:val="nil"/>
              <w:bottom w:val="single" w:sz="4" w:space="0" w:color="auto"/>
              <w:right w:val="single" w:sz="4" w:space="0" w:color="auto"/>
            </w:tcBorders>
            <w:shd w:val="clear" w:color="auto" w:fill="auto"/>
            <w:noWrap/>
            <w:vAlign w:val="bottom"/>
            <w:hideMark/>
          </w:tcPr>
          <w:p w14:paraId="24999BB1"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813</w:t>
            </w:r>
          </w:p>
        </w:tc>
        <w:tc>
          <w:tcPr>
            <w:tcW w:w="673" w:type="dxa"/>
            <w:tcBorders>
              <w:top w:val="nil"/>
              <w:left w:val="nil"/>
              <w:bottom w:val="single" w:sz="4" w:space="0" w:color="auto"/>
              <w:right w:val="single" w:sz="4" w:space="0" w:color="auto"/>
            </w:tcBorders>
            <w:shd w:val="clear" w:color="auto" w:fill="auto"/>
            <w:noWrap/>
            <w:vAlign w:val="center"/>
            <w:hideMark/>
          </w:tcPr>
          <w:p w14:paraId="33F69870"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59</w:t>
            </w:r>
          </w:p>
        </w:tc>
        <w:tc>
          <w:tcPr>
            <w:tcW w:w="671" w:type="dxa"/>
            <w:tcBorders>
              <w:top w:val="nil"/>
              <w:left w:val="nil"/>
              <w:bottom w:val="single" w:sz="4" w:space="0" w:color="auto"/>
              <w:right w:val="single" w:sz="4" w:space="0" w:color="auto"/>
            </w:tcBorders>
            <w:shd w:val="clear" w:color="auto" w:fill="auto"/>
            <w:noWrap/>
            <w:vAlign w:val="center"/>
            <w:hideMark/>
          </w:tcPr>
          <w:p w14:paraId="1642D0F0"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15</w:t>
            </w:r>
          </w:p>
        </w:tc>
        <w:tc>
          <w:tcPr>
            <w:tcW w:w="671" w:type="dxa"/>
            <w:tcBorders>
              <w:top w:val="nil"/>
              <w:left w:val="nil"/>
              <w:bottom w:val="single" w:sz="4" w:space="0" w:color="auto"/>
              <w:right w:val="single" w:sz="4" w:space="0" w:color="auto"/>
            </w:tcBorders>
            <w:shd w:val="clear" w:color="auto" w:fill="auto"/>
            <w:noWrap/>
            <w:vAlign w:val="center"/>
            <w:hideMark/>
          </w:tcPr>
          <w:p w14:paraId="1C564F45"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301</w:t>
            </w:r>
          </w:p>
        </w:tc>
        <w:tc>
          <w:tcPr>
            <w:tcW w:w="673" w:type="dxa"/>
            <w:tcBorders>
              <w:top w:val="nil"/>
              <w:left w:val="nil"/>
              <w:bottom w:val="single" w:sz="4" w:space="0" w:color="auto"/>
              <w:right w:val="single" w:sz="4" w:space="0" w:color="auto"/>
            </w:tcBorders>
            <w:shd w:val="clear" w:color="auto" w:fill="auto"/>
            <w:noWrap/>
            <w:vAlign w:val="center"/>
            <w:hideMark/>
          </w:tcPr>
          <w:p w14:paraId="362BD9DE"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103</w:t>
            </w:r>
          </w:p>
        </w:tc>
        <w:tc>
          <w:tcPr>
            <w:tcW w:w="671" w:type="dxa"/>
            <w:tcBorders>
              <w:top w:val="nil"/>
              <w:left w:val="nil"/>
              <w:bottom w:val="single" w:sz="4" w:space="0" w:color="auto"/>
              <w:right w:val="single" w:sz="4" w:space="0" w:color="auto"/>
            </w:tcBorders>
            <w:shd w:val="clear" w:color="auto" w:fill="auto"/>
            <w:noWrap/>
            <w:vAlign w:val="center"/>
            <w:hideMark/>
          </w:tcPr>
          <w:p w14:paraId="4B51DE48"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445</w:t>
            </w:r>
          </w:p>
        </w:tc>
        <w:tc>
          <w:tcPr>
            <w:tcW w:w="673" w:type="dxa"/>
            <w:tcBorders>
              <w:top w:val="nil"/>
              <w:left w:val="nil"/>
              <w:bottom w:val="single" w:sz="4" w:space="0" w:color="auto"/>
              <w:right w:val="single" w:sz="4" w:space="0" w:color="auto"/>
            </w:tcBorders>
            <w:shd w:val="clear" w:color="auto" w:fill="auto"/>
            <w:noWrap/>
            <w:vAlign w:val="bottom"/>
            <w:hideMark/>
          </w:tcPr>
          <w:p w14:paraId="1EC958AF"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191</w:t>
            </w:r>
          </w:p>
        </w:tc>
        <w:tc>
          <w:tcPr>
            <w:tcW w:w="671" w:type="dxa"/>
            <w:tcBorders>
              <w:top w:val="nil"/>
              <w:left w:val="nil"/>
              <w:bottom w:val="single" w:sz="4" w:space="0" w:color="auto"/>
              <w:right w:val="single" w:sz="4" w:space="0" w:color="auto"/>
            </w:tcBorders>
            <w:shd w:val="clear" w:color="auto" w:fill="auto"/>
            <w:noWrap/>
            <w:vAlign w:val="bottom"/>
            <w:hideMark/>
          </w:tcPr>
          <w:p w14:paraId="2D5BF3F6"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15</w:t>
            </w:r>
          </w:p>
        </w:tc>
        <w:tc>
          <w:tcPr>
            <w:tcW w:w="673" w:type="dxa"/>
            <w:tcBorders>
              <w:top w:val="nil"/>
              <w:left w:val="nil"/>
              <w:bottom w:val="single" w:sz="4" w:space="0" w:color="auto"/>
              <w:right w:val="single" w:sz="4" w:space="0" w:color="auto"/>
            </w:tcBorders>
            <w:shd w:val="clear" w:color="auto" w:fill="auto"/>
            <w:noWrap/>
            <w:vAlign w:val="bottom"/>
            <w:hideMark/>
          </w:tcPr>
          <w:p w14:paraId="3BAAFBA9"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180</w:t>
            </w:r>
          </w:p>
        </w:tc>
        <w:tc>
          <w:tcPr>
            <w:tcW w:w="671" w:type="dxa"/>
            <w:tcBorders>
              <w:top w:val="nil"/>
              <w:left w:val="nil"/>
              <w:bottom w:val="single" w:sz="4" w:space="0" w:color="auto"/>
              <w:right w:val="single" w:sz="4" w:space="0" w:color="auto"/>
            </w:tcBorders>
            <w:shd w:val="clear" w:color="auto" w:fill="auto"/>
            <w:noWrap/>
            <w:vAlign w:val="bottom"/>
            <w:hideMark/>
          </w:tcPr>
          <w:p w14:paraId="29854D53"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9</w:t>
            </w:r>
          </w:p>
        </w:tc>
        <w:tc>
          <w:tcPr>
            <w:tcW w:w="673" w:type="dxa"/>
            <w:tcBorders>
              <w:top w:val="nil"/>
              <w:left w:val="nil"/>
              <w:bottom w:val="single" w:sz="4" w:space="0" w:color="auto"/>
              <w:right w:val="single" w:sz="4" w:space="0" w:color="auto"/>
            </w:tcBorders>
            <w:shd w:val="clear" w:color="auto" w:fill="auto"/>
            <w:noWrap/>
            <w:vAlign w:val="bottom"/>
            <w:hideMark/>
          </w:tcPr>
          <w:p w14:paraId="79F43534"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544</w:t>
            </w:r>
          </w:p>
        </w:tc>
        <w:tc>
          <w:tcPr>
            <w:tcW w:w="671" w:type="dxa"/>
            <w:tcBorders>
              <w:top w:val="nil"/>
              <w:left w:val="nil"/>
              <w:bottom w:val="single" w:sz="4" w:space="0" w:color="auto"/>
              <w:right w:val="single" w:sz="4" w:space="0" w:color="auto"/>
            </w:tcBorders>
            <w:shd w:val="clear" w:color="auto" w:fill="auto"/>
            <w:noWrap/>
            <w:vAlign w:val="bottom"/>
            <w:hideMark/>
          </w:tcPr>
          <w:p w14:paraId="28A9F3BE"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3 804</w:t>
            </w:r>
          </w:p>
        </w:tc>
        <w:tc>
          <w:tcPr>
            <w:tcW w:w="673" w:type="dxa"/>
            <w:tcBorders>
              <w:top w:val="nil"/>
              <w:left w:val="nil"/>
              <w:bottom w:val="single" w:sz="4" w:space="0" w:color="auto"/>
              <w:right w:val="single" w:sz="4" w:space="0" w:color="auto"/>
            </w:tcBorders>
            <w:shd w:val="clear" w:color="auto" w:fill="auto"/>
            <w:noWrap/>
            <w:vAlign w:val="bottom"/>
            <w:hideMark/>
          </w:tcPr>
          <w:p w14:paraId="1AF89093"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5 407</w:t>
            </w:r>
          </w:p>
        </w:tc>
      </w:tr>
      <w:tr w:rsidR="00DB1F4D" w:rsidRPr="005053C3" w14:paraId="31F2FCF6" w14:textId="77777777" w:rsidTr="195A9735">
        <w:trPr>
          <w:trHeight w:val="131"/>
        </w:trPr>
        <w:tc>
          <w:tcPr>
            <w:tcW w:w="988" w:type="dxa"/>
            <w:tcBorders>
              <w:top w:val="nil"/>
              <w:left w:val="single" w:sz="4" w:space="0" w:color="auto"/>
              <w:bottom w:val="single" w:sz="4" w:space="0" w:color="auto"/>
              <w:right w:val="single" w:sz="4" w:space="0" w:color="auto"/>
            </w:tcBorders>
            <w:shd w:val="clear" w:color="auto" w:fill="auto"/>
            <w:hideMark/>
          </w:tcPr>
          <w:p w14:paraId="3F6539F4"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Provider 3</w:t>
            </w:r>
          </w:p>
        </w:tc>
        <w:tc>
          <w:tcPr>
            <w:tcW w:w="622" w:type="dxa"/>
            <w:tcBorders>
              <w:top w:val="nil"/>
              <w:left w:val="nil"/>
              <w:bottom w:val="single" w:sz="4" w:space="0" w:color="auto"/>
              <w:right w:val="single" w:sz="4" w:space="0" w:color="auto"/>
            </w:tcBorders>
            <w:shd w:val="clear" w:color="auto" w:fill="auto"/>
            <w:noWrap/>
            <w:hideMark/>
          </w:tcPr>
          <w:p w14:paraId="296D0BC6" w14:textId="1E28C75B" w:rsidR="00DB1F4D" w:rsidRPr="005053C3" w:rsidRDefault="33FDFF37"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Mtskheta</w:t>
            </w:r>
          </w:p>
        </w:tc>
        <w:tc>
          <w:tcPr>
            <w:tcW w:w="798" w:type="dxa"/>
            <w:tcBorders>
              <w:top w:val="nil"/>
              <w:left w:val="nil"/>
              <w:bottom w:val="single" w:sz="4" w:space="0" w:color="auto"/>
              <w:right w:val="single" w:sz="4" w:space="0" w:color="auto"/>
            </w:tcBorders>
            <w:shd w:val="clear" w:color="auto" w:fill="auto"/>
            <w:noWrap/>
            <w:hideMark/>
          </w:tcPr>
          <w:p w14:paraId="5769855E"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Urban and rural</w:t>
            </w:r>
          </w:p>
        </w:tc>
        <w:tc>
          <w:tcPr>
            <w:tcW w:w="671" w:type="dxa"/>
            <w:tcBorders>
              <w:top w:val="nil"/>
              <w:left w:val="nil"/>
              <w:bottom w:val="single" w:sz="4" w:space="0" w:color="auto"/>
              <w:right w:val="single" w:sz="4" w:space="0" w:color="auto"/>
            </w:tcBorders>
            <w:shd w:val="clear" w:color="auto" w:fill="auto"/>
            <w:noWrap/>
            <w:hideMark/>
          </w:tcPr>
          <w:p w14:paraId="062E4A35"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27 000</w:t>
            </w:r>
          </w:p>
        </w:tc>
        <w:tc>
          <w:tcPr>
            <w:tcW w:w="671" w:type="dxa"/>
            <w:tcBorders>
              <w:top w:val="nil"/>
              <w:left w:val="nil"/>
              <w:bottom w:val="single" w:sz="4" w:space="0" w:color="auto"/>
              <w:right w:val="single" w:sz="4" w:space="0" w:color="auto"/>
            </w:tcBorders>
            <w:shd w:val="clear" w:color="auto" w:fill="auto"/>
            <w:noWrap/>
            <w:vAlign w:val="bottom"/>
            <w:hideMark/>
          </w:tcPr>
          <w:p w14:paraId="38E18BAD"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6 000</w:t>
            </w:r>
          </w:p>
        </w:tc>
        <w:tc>
          <w:tcPr>
            <w:tcW w:w="673" w:type="dxa"/>
            <w:tcBorders>
              <w:top w:val="nil"/>
              <w:left w:val="nil"/>
              <w:bottom w:val="single" w:sz="4" w:space="0" w:color="auto"/>
              <w:right w:val="single" w:sz="4" w:space="0" w:color="auto"/>
            </w:tcBorders>
            <w:shd w:val="clear" w:color="auto" w:fill="auto"/>
            <w:noWrap/>
            <w:vAlign w:val="bottom"/>
            <w:hideMark/>
          </w:tcPr>
          <w:p w14:paraId="3FB83D12"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1,29</w:t>
            </w:r>
          </w:p>
        </w:tc>
        <w:tc>
          <w:tcPr>
            <w:tcW w:w="671" w:type="dxa"/>
            <w:tcBorders>
              <w:top w:val="nil"/>
              <w:left w:val="nil"/>
              <w:bottom w:val="single" w:sz="4" w:space="0" w:color="auto"/>
              <w:right w:val="single" w:sz="4" w:space="0" w:color="auto"/>
            </w:tcBorders>
            <w:shd w:val="clear" w:color="auto" w:fill="auto"/>
            <w:noWrap/>
            <w:vAlign w:val="bottom"/>
            <w:hideMark/>
          </w:tcPr>
          <w:p w14:paraId="1A0BB17C"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2,03</w:t>
            </w:r>
          </w:p>
        </w:tc>
        <w:tc>
          <w:tcPr>
            <w:tcW w:w="673" w:type="dxa"/>
            <w:tcBorders>
              <w:top w:val="nil"/>
              <w:left w:val="nil"/>
              <w:bottom w:val="single" w:sz="4" w:space="0" w:color="auto"/>
              <w:right w:val="single" w:sz="4" w:space="0" w:color="auto"/>
            </w:tcBorders>
            <w:shd w:val="clear" w:color="auto" w:fill="auto"/>
            <w:noWrap/>
            <w:vAlign w:val="bottom"/>
            <w:hideMark/>
          </w:tcPr>
          <w:p w14:paraId="4DA4A2A2"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890</w:t>
            </w:r>
          </w:p>
        </w:tc>
        <w:tc>
          <w:tcPr>
            <w:tcW w:w="671" w:type="dxa"/>
            <w:tcBorders>
              <w:top w:val="nil"/>
              <w:left w:val="nil"/>
              <w:bottom w:val="single" w:sz="4" w:space="0" w:color="auto"/>
              <w:right w:val="single" w:sz="4" w:space="0" w:color="auto"/>
            </w:tcBorders>
            <w:shd w:val="clear" w:color="auto" w:fill="auto"/>
            <w:noWrap/>
            <w:vAlign w:val="bottom"/>
            <w:hideMark/>
          </w:tcPr>
          <w:p w14:paraId="400010B8"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700</w:t>
            </w:r>
          </w:p>
        </w:tc>
        <w:tc>
          <w:tcPr>
            <w:tcW w:w="673" w:type="dxa"/>
            <w:tcBorders>
              <w:top w:val="nil"/>
              <w:left w:val="nil"/>
              <w:bottom w:val="single" w:sz="4" w:space="0" w:color="auto"/>
              <w:right w:val="single" w:sz="4" w:space="0" w:color="auto"/>
            </w:tcBorders>
            <w:shd w:val="clear" w:color="auto" w:fill="auto"/>
            <w:noWrap/>
            <w:vAlign w:val="bottom"/>
            <w:hideMark/>
          </w:tcPr>
          <w:p w14:paraId="5D8E43F3"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1 116</w:t>
            </w:r>
          </w:p>
        </w:tc>
        <w:tc>
          <w:tcPr>
            <w:tcW w:w="671" w:type="dxa"/>
            <w:tcBorders>
              <w:top w:val="nil"/>
              <w:left w:val="nil"/>
              <w:bottom w:val="single" w:sz="4" w:space="0" w:color="auto"/>
              <w:right w:val="single" w:sz="4" w:space="0" w:color="auto"/>
            </w:tcBorders>
            <w:shd w:val="clear" w:color="auto" w:fill="auto"/>
            <w:noWrap/>
            <w:vAlign w:val="bottom"/>
            <w:hideMark/>
          </w:tcPr>
          <w:p w14:paraId="35D1AAB4"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808</w:t>
            </w:r>
          </w:p>
        </w:tc>
        <w:tc>
          <w:tcPr>
            <w:tcW w:w="673" w:type="dxa"/>
            <w:tcBorders>
              <w:top w:val="nil"/>
              <w:left w:val="nil"/>
              <w:bottom w:val="single" w:sz="4" w:space="0" w:color="auto"/>
              <w:right w:val="single" w:sz="4" w:space="0" w:color="auto"/>
            </w:tcBorders>
            <w:shd w:val="clear" w:color="auto" w:fill="auto"/>
            <w:noWrap/>
            <w:vAlign w:val="center"/>
            <w:hideMark/>
          </w:tcPr>
          <w:p w14:paraId="478E84AC"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87</w:t>
            </w:r>
          </w:p>
        </w:tc>
        <w:tc>
          <w:tcPr>
            <w:tcW w:w="671" w:type="dxa"/>
            <w:tcBorders>
              <w:top w:val="nil"/>
              <w:left w:val="nil"/>
              <w:bottom w:val="single" w:sz="4" w:space="0" w:color="auto"/>
              <w:right w:val="single" w:sz="4" w:space="0" w:color="auto"/>
            </w:tcBorders>
            <w:shd w:val="clear" w:color="auto" w:fill="auto"/>
            <w:noWrap/>
            <w:vAlign w:val="center"/>
            <w:hideMark/>
          </w:tcPr>
          <w:p w14:paraId="418486B0"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65</w:t>
            </w:r>
          </w:p>
        </w:tc>
        <w:tc>
          <w:tcPr>
            <w:tcW w:w="671" w:type="dxa"/>
            <w:tcBorders>
              <w:top w:val="nil"/>
              <w:left w:val="nil"/>
              <w:bottom w:val="single" w:sz="4" w:space="0" w:color="auto"/>
              <w:right w:val="single" w:sz="4" w:space="0" w:color="auto"/>
            </w:tcBorders>
            <w:shd w:val="clear" w:color="auto" w:fill="auto"/>
            <w:noWrap/>
            <w:vAlign w:val="center"/>
            <w:hideMark/>
          </w:tcPr>
          <w:p w14:paraId="142FDD5D"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1 805</w:t>
            </w:r>
          </w:p>
        </w:tc>
        <w:tc>
          <w:tcPr>
            <w:tcW w:w="673" w:type="dxa"/>
            <w:tcBorders>
              <w:top w:val="nil"/>
              <w:left w:val="nil"/>
              <w:bottom w:val="single" w:sz="4" w:space="0" w:color="auto"/>
              <w:right w:val="single" w:sz="4" w:space="0" w:color="auto"/>
            </w:tcBorders>
            <w:shd w:val="clear" w:color="auto" w:fill="auto"/>
            <w:noWrap/>
            <w:vAlign w:val="center"/>
            <w:hideMark/>
          </w:tcPr>
          <w:p w14:paraId="0B4C00F2"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42</w:t>
            </w:r>
          </w:p>
        </w:tc>
        <w:tc>
          <w:tcPr>
            <w:tcW w:w="671" w:type="dxa"/>
            <w:tcBorders>
              <w:top w:val="nil"/>
              <w:left w:val="nil"/>
              <w:bottom w:val="single" w:sz="4" w:space="0" w:color="auto"/>
              <w:right w:val="single" w:sz="4" w:space="0" w:color="auto"/>
            </w:tcBorders>
            <w:shd w:val="clear" w:color="auto" w:fill="auto"/>
            <w:noWrap/>
            <w:vAlign w:val="bottom"/>
            <w:hideMark/>
          </w:tcPr>
          <w:p w14:paraId="7DCCF450"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1 006</w:t>
            </w:r>
          </w:p>
        </w:tc>
        <w:tc>
          <w:tcPr>
            <w:tcW w:w="673" w:type="dxa"/>
            <w:tcBorders>
              <w:top w:val="nil"/>
              <w:left w:val="nil"/>
              <w:bottom w:val="single" w:sz="4" w:space="0" w:color="auto"/>
              <w:right w:val="single" w:sz="4" w:space="0" w:color="auto"/>
            </w:tcBorders>
            <w:shd w:val="clear" w:color="auto" w:fill="auto"/>
            <w:noWrap/>
            <w:vAlign w:val="bottom"/>
            <w:hideMark/>
          </w:tcPr>
          <w:p w14:paraId="3AC5AE4E"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171</w:t>
            </w:r>
          </w:p>
        </w:tc>
        <w:tc>
          <w:tcPr>
            <w:tcW w:w="671" w:type="dxa"/>
            <w:tcBorders>
              <w:top w:val="nil"/>
              <w:left w:val="nil"/>
              <w:bottom w:val="single" w:sz="4" w:space="0" w:color="auto"/>
              <w:right w:val="single" w:sz="4" w:space="0" w:color="auto"/>
            </w:tcBorders>
            <w:shd w:val="clear" w:color="auto" w:fill="auto"/>
            <w:noWrap/>
            <w:vAlign w:val="bottom"/>
            <w:hideMark/>
          </w:tcPr>
          <w:p w14:paraId="4CBCA8F2"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30</w:t>
            </w:r>
          </w:p>
        </w:tc>
        <w:tc>
          <w:tcPr>
            <w:tcW w:w="673" w:type="dxa"/>
            <w:tcBorders>
              <w:top w:val="nil"/>
              <w:left w:val="nil"/>
              <w:bottom w:val="single" w:sz="4" w:space="0" w:color="auto"/>
              <w:right w:val="single" w:sz="4" w:space="0" w:color="auto"/>
            </w:tcBorders>
            <w:shd w:val="clear" w:color="auto" w:fill="auto"/>
            <w:noWrap/>
            <w:vAlign w:val="bottom"/>
            <w:hideMark/>
          </w:tcPr>
          <w:p w14:paraId="7CAA381B"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274</w:t>
            </w:r>
          </w:p>
        </w:tc>
        <w:tc>
          <w:tcPr>
            <w:tcW w:w="671" w:type="dxa"/>
            <w:tcBorders>
              <w:top w:val="nil"/>
              <w:left w:val="nil"/>
              <w:bottom w:val="single" w:sz="4" w:space="0" w:color="auto"/>
              <w:right w:val="single" w:sz="4" w:space="0" w:color="auto"/>
            </w:tcBorders>
            <w:shd w:val="clear" w:color="auto" w:fill="auto"/>
            <w:noWrap/>
            <w:vAlign w:val="bottom"/>
            <w:hideMark/>
          </w:tcPr>
          <w:p w14:paraId="29376F1A"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20</w:t>
            </w:r>
          </w:p>
        </w:tc>
        <w:tc>
          <w:tcPr>
            <w:tcW w:w="673" w:type="dxa"/>
            <w:tcBorders>
              <w:top w:val="nil"/>
              <w:left w:val="nil"/>
              <w:bottom w:val="single" w:sz="4" w:space="0" w:color="auto"/>
              <w:right w:val="single" w:sz="4" w:space="0" w:color="auto"/>
            </w:tcBorders>
            <w:shd w:val="clear" w:color="auto" w:fill="auto"/>
            <w:noWrap/>
            <w:vAlign w:val="bottom"/>
            <w:hideMark/>
          </w:tcPr>
          <w:p w14:paraId="4EAE05B2"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983</w:t>
            </w:r>
          </w:p>
        </w:tc>
        <w:tc>
          <w:tcPr>
            <w:tcW w:w="671" w:type="dxa"/>
            <w:tcBorders>
              <w:top w:val="nil"/>
              <w:left w:val="nil"/>
              <w:bottom w:val="single" w:sz="4" w:space="0" w:color="auto"/>
              <w:right w:val="single" w:sz="4" w:space="0" w:color="auto"/>
            </w:tcBorders>
            <w:shd w:val="clear" w:color="auto" w:fill="auto"/>
            <w:noWrap/>
            <w:vAlign w:val="bottom"/>
            <w:hideMark/>
          </w:tcPr>
          <w:p w14:paraId="051D61EC"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7 099</w:t>
            </w:r>
          </w:p>
        </w:tc>
        <w:tc>
          <w:tcPr>
            <w:tcW w:w="673" w:type="dxa"/>
            <w:tcBorders>
              <w:top w:val="nil"/>
              <w:left w:val="nil"/>
              <w:bottom w:val="single" w:sz="4" w:space="0" w:color="auto"/>
              <w:right w:val="single" w:sz="4" w:space="0" w:color="auto"/>
            </w:tcBorders>
            <w:shd w:val="clear" w:color="auto" w:fill="auto"/>
            <w:noWrap/>
            <w:vAlign w:val="bottom"/>
            <w:hideMark/>
          </w:tcPr>
          <w:p w14:paraId="53424F8F"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18 409</w:t>
            </w:r>
          </w:p>
        </w:tc>
      </w:tr>
      <w:tr w:rsidR="00DB1F4D" w:rsidRPr="005053C3" w14:paraId="554BFD2D" w14:textId="77777777" w:rsidTr="195A9735">
        <w:trPr>
          <w:trHeight w:val="131"/>
        </w:trPr>
        <w:tc>
          <w:tcPr>
            <w:tcW w:w="988" w:type="dxa"/>
            <w:tcBorders>
              <w:top w:val="nil"/>
              <w:left w:val="single" w:sz="4" w:space="0" w:color="auto"/>
              <w:bottom w:val="single" w:sz="4" w:space="0" w:color="auto"/>
              <w:right w:val="single" w:sz="4" w:space="0" w:color="auto"/>
            </w:tcBorders>
            <w:shd w:val="clear" w:color="auto" w:fill="auto"/>
            <w:hideMark/>
          </w:tcPr>
          <w:p w14:paraId="51DF454E"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Provider 4</w:t>
            </w:r>
          </w:p>
        </w:tc>
        <w:tc>
          <w:tcPr>
            <w:tcW w:w="622" w:type="dxa"/>
            <w:tcBorders>
              <w:top w:val="nil"/>
              <w:left w:val="nil"/>
              <w:bottom w:val="single" w:sz="4" w:space="0" w:color="auto"/>
              <w:right w:val="single" w:sz="4" w:space="0" w:color="auto"/>
            </w:tcBorders>
            <w:shd w:val="clear" w:color="auto" w:fill="auto"/>
            <w:noWrap/>
            <w:hideMark/>
          </w:tcPr>
          <w:p w14:paraId="7D72964D"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Nadzaladevi District</w:t>
            </w:r>
          </w:p>
        </w:tc>
        <w:tc>
          <w:tcPr>
            <w:tcW w:w="798" w:type="dxa"/>
            <w:tcBorders>
              <w:top w:val="nil"/>
              <w:left w:val="nil"/>
              <w:bottom w:val="single" w:sz="4" w:space="0" w:color="auto"/>
              <w:right w:val="single" w:sz="4" w:space="0" w:color="auto"/>
            </w:tcBorders>
            <w:shd w:val="clear" w:color="auto" w:fill="auto"/>
            <w:noWrap/>
            <w:hideMark/>
          </w:tcPr>
          <w:p w14:paraId="2FFD076D"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Urban</w:t>
            </w:r>
          </w:p>
        </w:tc>
        <w:tc>
          <w:tcPr>
            <w:tcW w:w="671" w:type="dxa"/>
            <w:tcBorders>
              <w:top w:val="nil"/>
              <w:left w:val="nil"/>
              <w:bottom w:val="single" w:sz="4" w:space="0" w:color="auto"/>
              <w:right w:val="single" w:sz="4" w:space="0" w:color="auto"/>
            </w:tcBorders>
            <w:shd w:val="clear" w:color="auto" w:fill="auto"/>
            <w:noWrap/>
            <w:hideMark/>
          </w:tcPr>
          <w:p w14:paraId="1912B964"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16 000</w:t>
            </w:r>
          </w:p>
        </w:tc>
        <w:tc>
          <w:tcPr>
            <w:tcW w:w="671" w:type="dxa"/>
            <w:tcBorders>
              <w:top w:val="nil"/>
              <w:left w:val="nil"/>
              <w:bottom w:val="single" w:sz="4" w:space="0" w:color="auto"/>
              <w:right w:val="single" w:sz="4" w:space="0" w:color="auto"/>
            </w:tcBorders>
            <w:shd w:val="clear" w:color="auto" w:fill="auto"/>
            <w:noWrap/>
            <w:vAlign w:val="bottom"/>
            <w:hideMark/>
          </w:tcPr>
          <w:p w14:paraId="7E5EEE2B"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16 000</w:t>
            </w:r>
          </w:p>
        </w:tc>
        <w:tc>
          <w:tcPr>
            <w:tcW w:w="673" w:type="dxa"/>
            <w:tcBorders>
              <w:top w:val="nil"/>
              <w:left w:val="nil"/>
              <w:bottom w:val="single" w:sz="4" w:space="0" w:color="auto"/>
              <w:right w:val="single" w:sz="4" w:space="0" w:color="auto"/>
            </w:tcBorders>
            <w:shd w:val="clear" w:color="auto" w:fill="auto"/>
            <w:noWrap/>
            <w:vAlign w:val="bottom"/>
            <w:hideMark/>
          </w:tcPr>
          <w:p w14:paraId="1AE3D458"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1,92</w:t>
            </w:r>
          </w:p>
        </w:tc>
        <w:tc>
          <w:tcPr>
            <w:tcW w:w="671" w:type="dxa"/>
            <w:tcBorders>
              <w:top w:val="nil"/>
              <w:left w:val="nil"/>
              <w:bottom w:val="single" w:sz="4" w:space="0" w:color="auto"/>
              <w:right w:val="single" w:sz="4" w:space="0" w:color="auto"/>
            </w:tcBorders>
            <w:shd w:val="clear" w:color="auto" w:fill="auto"/>
            <w:noWrap/>
            <w:vAlign w:val="bottom"/>
            <w:hideMark/>
          </w:tcPr>
          <w:p w14:paraId="3155FD06"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2,95</w:t>
            </w:r>
          </w:p>
        </w:tc>
        <w:tc>
          <w:tcPr>
            <w:tcW w:w="673" w:type="dxa"/>
            <w:tcBorders>
              <w:top w:val="nil"/>
              <w:left w:val="nil"/>
              <w:bottom w:val="single" w:sz="4" w:space="0" w:color="auto"/>
              <w:right w:val="single" w:sz="4" w:space="0" w:color="auto"/>
            </w:tcBorders>
            <w:shd w:val="clear" w:color="auto" w:fill="auto"/>
            <w:noWrap/>
            <w:vAlign w:val="bottom"/>
            <w:hideMark/>
          </w:tcPr>
          <w:p w14:paraId="4AD8ACD7"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663</w:t>
            </w:r>
          </w:p>
        </w:tc>
        <w:tc>
          <w:tcPr>
            <w:tcW w:w="671" w:type="dxa"/>
            <w:tcBorders>
              <w:top w:val="nil"/>
              <w:left w:val="nil"/>
              <w:bottom w:val="single" w:sz="4" w:space="0" w:color="auto"/>
              <w:right w:val="single" w:sz="4" w:space="0" w:color="auto"/>
            </w:tcBorders>
            <w:shd w:val="clear" w:color="auto" w:fill="auto"/>
            <w:noWrap/>
            <w:vAlign w:val="bottom"/>
            <w:hideMark/>
          </w:tcPr>
          <w:p w14:paraId="756B8FE4"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470</w:t>
            </w:r>
          </w:p>
        </w:tc>
        <w:tc>
          <w:tcPr>
            <w:tcW w:w="673" w:type="dxa"/>
            <w:tcBorders>
              <w:top w:val="nil"/>
              <w:left w:val="nil"/>
              <w:bottom w:val="single" w:sz="4" w:space="0" w:color="auto"/>
              <w:right w:val="single" w:sz="4" w:space="0" w:color="auto"/>
            </w:tcBorders>
            <w:shd w:val="clear" w:color="auto" w:fill="auto"/>
            <w:noWrap/>
            <w:vAlign w:val="bottom"/>
            <w:hideMark/>
          </w:tcPr>
          <w:p w14:paraId="3A7C0B39"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795</w:t>
            </w:r>
          </w:p>
        </w:tc>
        <w:tc>
          <w:tcPr>
            <w:tcW w:w="671" w:type="dxa"/>
            <w:tcBorders>
              <w:top w:val="nil"/>
              <w:left w:val="nil"/>
              <w:bottom w:val="single" w:sz="4" w:space="0" w:color="auto"/>
              <w:right w:val="single" w:sz="4" w:space="0" w:color="auto"/>
            </w:tcBorders>
            <w:shd w:val="clear" w:color="auto" w:fill="auto"/>
            <w:noWrap/>
            <w:vAlign w:val="bottom"/>
            <w:hideMark/>
          </w:tcPr>
          <w:p w14:paraId="43C76B0A"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717</w:t>
            </w:r>
          </w:p>
        </w:tc>
        <w:tc>
          <w:tcPr>
            <w:tcW w:w="673" w:type="dxa"/>
            <w:tcBorders>
              <w:top w:val="nil"/>
              <w:left w:val="nil"/>
              <w:bottom w:val="single" w:sz="4" w:space="0" w:color="auto"/>
              <w:right w:val="single" w:sz="4" w:space="0" w:color="auto"/>
            </w:tcBorders>
            <w:shd w:val="clear" w:color="auto" w:fill="auto"/>
            <w:noWrap/>
            <w:vAlign w:val="center"/>
            <w:hideMark/>
          </w:tcPr>
          <w:p w14:paraId="54623699"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81</w:t>
            </w:r>
          </w:p>
        </w:tc>
        <w:tc>
          <w:tcPr>
            <w:tcW w:w="671" w:type="dxa"/>
            <w:tcBorders>
              <w:top w:val="nil"/>
              <w:left w:val="nil"/>
              <w:bottom w:val="single" w:sz="4" w:space="0" w:color="auto"/>
              <w:right w:val="single" w:sz="4" w:space="0" w:color="auto"/>
            </w:tcBorders>
            <w:shd w:val="clear" w:color="auto" w:fill="auto"/>
            <w:noWrap/>
            <w:vAlign w:val="center"/>
            <w:hideMark/>
          </w:tcPr>
          <w:p w14:paraId="56D56EDC"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19</w:t>
            </w:r>
          </w:p>
        </w:tc>
        <w:tc>
          <w:tcPr>
            <w:tcW w:w="671" w:type="dxa"/>
            <w:tcBorders>
              <w:top w:val="nil"/>
              <w:left w:val="nil"/>
              <w:bottom w:val="single" w:sz="4" w:space="0" w:color="auto"/>
              <w:right w:val="single" w:sz="4" w:space="0" w:color="auto"/>
            </w:tcBorders>
            <w:shd w:val="clear" w:color="auto" w:fill="auto"/>
            <w:noWrap/>
            <w:vAlign w:val="center"/>
            <w:hideMark/>
          </w:tcPr>
          <w:p w14:paraId="550AE19C"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315</w:t>
            </w:r>
          </w:p>
        </w:tc>
        <w:tc>
          <w:tcPr>
            <w:tcW w:w="673" w:type="dxa"/>
            <w:tcBorders>
              <w:top w:val="nil"/>
              <w:left w:val="nil"/>
              <w:bottom w:val="single" w:sz="4" w:space="0" w:color="auto"/>
              <w:right w:val="single" w:sz="4" w:space="0" w:color="auto"/>
            </w:tcBorders>
            <w:shd w:val="clear" w:color="auto" w:fill="auto"/>
            <w:noWrap/>
            <w:vAlign w:val="center"/>
            <w:hideMark/>
          </w:tcPr>
          <w:p w14:paraId="1D7E08E6"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251</w:t>
            </w:r>
          </w:p>
        </w:tc>
        <w:tc>
          <w:tcPr>
            <w:tcW w:w="671" w:type="dxa"/>
            <w:tcBorders>
              <w:top w:val="nil"/>
              <w:left w:val="nil"/>
              <w:bottom w:val="single" w:sz="4" w:space="0" w:color="auto"/>
              <w:right w:val="single" w:sz="4" w:space="0" w:color="auto"/>
            </w:tcBorders>
            <w:shd w:val="clear" w:color="auto" w:fill="auto"/>
            <w:noWrap/>
            <w:vAlign w:val="bottom"/>
            <w:hideMark/>
          </w:tcPr>
          <w:p w14:paraId="07281043"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799</w:t>
            </w:r>
          </w:p>
        </w:tc>
        <w:tc>
          <w:tcPr>
            <w:tcW w:w="673" w:type="dxa"/>
            <w:tcBorders>
              <w:top w:val="nil"/>
              <w:left w:val="nil"/>
              <w:bottom w:val="single" w:sz="4" w:space="0" w:color="auto"/>
              <w:right w:val="single" w:sz="4" w:space="0" w:color="auto"/>
            </w:tcBorders>
            <w:shd w:val="clear" w:color="auto" w:fill="auto"/>
            <w:noWrap/>
            <w:vAlign w:val="bottom"/>
            <w:hideMark/>
          </w:tcPr>
          <w:p w14:paraId="2704905D"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338</w:t>
            </w:r>
          </w:p>
        </w:tc>
        <w:tc>
          <w:tcPr>
            <w:tcW w:w="671" w:type="dxa"/>
            <w:tcBorders>
              <w:top w:val="nil"/>
              <w:left w:val="nil"/>
              <w:bottom w:val="single" w:sz="4" w:space="0" w:color="auto"/>
              <w:right w:val="single" w:sz="4" w:space="0" w:color="auto"/>
            </w:tcBorders>
            <w:shd w:val="clear" w:color="auto" w:fill="auto"/>
            <w:noWrap/>
            <w:vAlign w:val="bottom"/>
            <w:hideMark/>
          </w:tcPr>
          <w:p w14:paraId="75231833"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169</w:t>
            </w:r>
          </w:p>
        </w:tc>
        <w:tc>
          <w:tcPr>
            <w:tcW w:w="673" w:type="dxa"/>
            <w:tcBorders>
              <w:top w:val="nil"/>
              <w:left w:val="nil"/>
              <w:bottom w:val="single" w:sz="4" w:space="0" w:color="auto"/>
              <w:right w:val="single" w:sz="4" w:space="0" w:color="auto"/>
            </w:tcBorders>
            <w:shd w:val="clear" w:color="auto" w:fill="auto"/>
            <w:noWrap/>
            <w:vAlign w:val="bottom"/>
            <w:hideMark/>
          </w:tcPr>
          <w:p w14:paraId="5E644341"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181</w:t>
            </w:r>
          </w:p>
        </w:tc>
        <w:tc>
          <w:tcPr>
            <w:tcW w:w="671" w:type="dxa"/>
            <w:tcBorders>
              <w:top w:val="nil"/>
              <w:left w:val="nil"/>
              <w:bottom w:val="single" w:sz="4" w:space="0" w:color="auto"/>
              <w:right w:val="single" w:sz="4" w:space="0" w:color="auto"/>
            </w:tcBorders>
            <w:shd w:val="clear" w:color="auto" w:fill="auto"/>
            <w:noWrap/>
            <w:vAlign w:val="bottom"/>
            <w:hideMark/>
          </w:tcPr>
          <w:p w14:paraId="4774EFA7"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8</w:t>
            </w:r>
          </w:p>
        </w:tc>
        <w:tc>
          <w:tcPr>
            <w:tcW w:w="673" w:type="dxa"/>
            <w:tcBorders>
              <w:top w:val="nil"/>
              <w:left w:val="nil"/>
              <w:bottom w:val="single" w:sz="4" w:space="0" w:color="auto"/>
              <w:right w:val="single" w:sz="4" w:space="0" w:color="auto"/>
            </w:tcBorders>
            <w:shd w:val="clear" w:color="auto" w:fill="auto"/>
            <w:noWrap/>
            <w:vAlign w:val="bottom"/>
            <w:hideMark/>
          </w:tcPr>
          <w:p w14:paraId="6C1AA7BE"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730</w:t>
            </w:r>
          </w:p>
        </w:tc>
        <w:tc>
          <w:tcPr>
            <w:tcW w:w="671" w:type="dxa"/>
            <w:tcBorders>
              <w:top w:val="nil"/>
              <w:left w:val="nil"/>
              <w:bottom w:val="single" w:sz="4" w:space="0" w:color="auto"/>
              <w:right w:val="single" w:sz="4" w:space="0" w:color="auto"/>
            </w:tcBorders>
            <w:shd w:val="clear" w:color="auto" w:fill="auto"/>
            <w:noWrap/>
            <w:vAlign w:val="bottom"/>
            <w:hideMark/>
          </w:tcPr>
          <w:p w14:paraId="55A20834"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4 364</w:t>
            </w:r>
          </w:p>
        </w:tc>
        <w:tc>
          <w:tcPr>
            <w:tcW w:w="673" w:type="dxa"/>
            <w:tcBorders>
              <w:top w:val="nil"/>
              <w:left w:val="nil"/>
              <w:bottom w:val="single" w:sz="4" w:space="0" w:color="auto"/>
              <w:right w:val="single" w:sz="4" w:space="0" w:color="auto"/>
            </w:tcBorders>
            <w:shd w:val="clear" w:color="auto" w:fill="auto"/>
            <w:noWrap/>
            <w:vAlign w:val="bottom"/>
            <w:hideMark/>
          </w:tcPr>
          <w:p w14:paraId="4421872F"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6 843</w:t>
            </w:r>
          </w:p>
        </w:tc>
      </w:tr>
      <w:tr w:rsidR="00DB1F4D" w:rsidRPr="005053C3" w14:paraId="34EBA1CF" w14:textId="77777777" w:rsidTr="195A9735">
        <w:trPr>
          <w:trHeight w:val="131"/>
        </w:trPr>
        <w:tc>
          <w:tcPr>
            <w:tcW w:w="988" w:type="dxa"/>
            <w:tcBorders>
              <w:top w:val="nil"/>
              <w:left w:val="single" w:sz="4" w:space="0" w:color="auto"/>
              <w:bottom w:val="single" w:sz="4" w:space="0" w:color="auto"/>
              <w:right w:val="single" w:sz="4" w:space="0" w:color="auto"/>
            </w:tcBorders>
            <w:shd w:val="clear" w:color="auto" w:fill="auto"/>
            <w:hideMark/>
          </w:tcPr>
          <w:p w14:paraId="5F3C7ECA"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Provider 5</w:t>
            </w:r>
          </w:p>
        </w:tc>
        <w:tc>
          <w:tcPr>
            <w:tcW w:w="622" w:type="dxa"/>
            <w:tcBorders>
              <w:top w:val="nil"/>
              <w:left w:val="nil"/>
              <w:bottom w:val="single" w:sz="4" w:space="0" w:color="auto"/>
              <w:right w:val="single" w:sz="4" w:space="0" w:color="auto"/>
            </w:tcBorders>
            <w:shd w:val="clear" w:color="auto" w:fill="auto"/>
            <w:noWrap/>
            <w:hideMark/>
          </w:tcPr>
          <w:p w14:paraId="2ED8E440"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xml:space="preserve">Kutaisi </w:t>
            </w:r>
          </w:p>
        </w:tc>
        <w:tc>
          <w:tcPr>
            <w:tcW w:w="798" w:type="dxa"/>
            <w:tcBorders>
              <w:top w:val="nil"/>
              <w:left w:val="nil"/>
              <w:bottom w:val="single" w:sz="4" w:space="0" w:color="auto"/>
              <w:right w:val="single" w:sz="4" w:space="0" w:color="auto"/>
            </w:tcBorders>
            <w:shd w:val="clear" w:color="auto" w:fill="auto"/>
            <w:noWrap/>
            <w:hideMark/>
          </w:tcPr>
          <w:p w14:paraId="51B92F0F"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urban and rural</w:t>
            </w:r>
          </w:p>
        </w:tc>
        <w:tc>
          <w:tcPr>
            <w:tcW w:w="671" w:type="dxa"/>
            <w:tcBorders>
              <w:top w:val="nil"/>
              <w:left w:val="nil"/>
              <w:bottom w:val="single" w:sz="4" w:space="0" w:color="auto"/>
              <w:right w:val="single" w:sz="4" w:space="0" w:color="auto"/>
            </w:tcBorders>
            <w:shd w:val="clear" w:color="auto" w:fill="auto"/>
            <w:noWrap/>
            <w:hideMark/>
          </w:tcPr>
          <w:p w14:paraId="484F3B0D"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46 000</w:t>
            </w:r>
          </w:p>
        </w:tc>
        <w:tc>
          <w:tcPr>
            <w:tcW w:w="671" w:type="dxa"/>
            <w:tcBorders>
              <w:top w:val="nil"/>
              <w:left w:val="nil"/>
              <w:bottom w:val="single" w:sz="4" w:space="0" w:color="auto"/>
              <w:right w:val="single" w:sz="4" w:space="0" w:color="auto"/>
            </w:tcBorders>
            <w:shd w:val="clear" w:color="auto" w:fill="auto"/>
            <w:noWrap/>
            <w:vAlign w:val="bottom"/>
            <w:hideMark/>
          </w:tcPr>
          <w:p w14:paraId="22992B14"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35 000</w:t>
            </w:r>
          </w:p>
        </w:tc>
        <w:tc>
          <w:tcPr>
            <w:tcW w:w="673" w:type="dxa"/>
            <w:tcBorders>
              <w:top w:val="nil"/>
              <w:left w:val="nil"/>
              <w:bottom w:val="single" w:sz="4" w:space="0" w:color="auto"/>
              <w:right w:val="single" w:sz="4" w:space="0" w:color="auto"/>
            </w:tcBorders>
            <w:shd w:val="clear" w:color="auto" w:fill="auto"/>
            <w:noWrap/>
            <w:vAlign w:val="bottom"/>
            <w:hideMark/>
          </w:tcPr>
          <w:p w14:paraId="6916716F"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1,68</w:t>
            </w:r>
          </w:p>
        </w:tc>
        <w:tc>
          <w:tcPr>
            <w:tcW w:w="671" w:type="dxa"/>
            <w:tcBorders>
              <w:top w:val="nil"/>
              <w:left w:val="nil"/>
              <w:bottom w:val="single" w:sz="4" w:space="0" w:color="auto"/>
              <w:right w:val="single" w:sz="4" w:space="0" w:color="auto"/>
            </w:tcBorders>
            <w:shd w:val="clear" w:color="auto" w:fill="auto"/>
            <w:noWrap/>
            <w:vAlign w:val="bottom"/>
            <w:hideMark/>
          </w:tcPr>
          <w:p w14:paraId="1D0AA0FE"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2,52</w:t>
            </w:r>
          </w:p>
        </w:tc>
        <w:tc>
          <w:tcPr>
            <w:tcW w:w="673" w:type="dxa"/>
            <w:tcBorders>
              <w:top w:val="nil"/>
              <w:left w:val="nil"/>
              <w:bottom w:val="single" w:sz="4" w:space="0" w:color="auto"/>
              <w:right w:val="single" w:sz="4" w:space="0" w:color="auto"/>
            </w:tcBorders>
            <w:shd w:val="clear" w:color="auto" w:fill="auto"/>
            <w:noWrap/>
            <w:vAlign w:val="bottom"/>
            <w:hideMark/>
          </w:tcPr>
          <w:p w14:paraId="3BCEF8CE"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1 237</w:t>
            </w:r>
          </w:p>
        </w:tc>
        <w:tc>
          <w:tcPr>
            <w:tcW w:w="671" w:type="dxa"/>
            <w:tcBorders>
              <w:top w:val="nil"/>
              <w:left w:val="nil"/>
              <w:bottom w:val="single" w:sz="4" w:space="0" w:color="auto"/>
              <w:right w:val="single" w:sz="4" w:space="0" w:color="auto"/>
            </w:tcBorders>
            <w:shd w:val="clear" w:color="auto" w:fill="auto"/>
            <w:noWrap/>
            <w:vAlign w:val="bottom"/>
            <w:hideMark/>
          </w:tcPr>
          <w:p w14:paraId="0E2BCA16"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937</w:t>
            </w:r>
          </w:p>
        </w:tc>
        <w:tc>
          <w:tcPr>
            <w:tcW w:w="673" w:type="dxa"/>
            <w:tcBorders>
              <w:top w:val="nil"/>
              <w:left w:val="nil"/>
              <w:bottom w:val="single" w:sz="4" w:space="0" w:color="auto"/>
              <w:right w:val="single" w:sz="4" w:space="0" w:color="auto"/>
            </w:tcBorders>
            <w:shd w:val="clear" w:color="auto" w:fill="auto"/>
            <w:noWrap/>
            <w:vAlign w:val="bottom"/>
            <w:hideMark/>
          </w:tcPr>
          <w:p w14:paraId="40F459E7"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1 299</w:t>
            </w:r>
          </w:p>
        </w:tc>
        <w:tc>
          <w:tcPr>
            <w:tcW w:w="671" w:type="dxa"/>
            <w:tcBorders>
              <w:top w:val="nil"/>
              <w:left w:val="nil"/>
              <w:bottom w:val="single" w:sz="4" w:space="0" w:color="auto"/>
              <w:right w:val="single" w:sz="4" w:space="0" w:color="auto"/>
            </w:tcBorders>
            <w:shd w:val="clear" w:color="auto" w:fill="auto"/>
            <w:noWrap/>
            <w:vAlign w:val="bottom"/>
            <w:hideMark/>
          </w:tcPr>
          <w:p w14:paraId="7929B753"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996</w:t>
            </w:r>
          </w:p>
        </w:tc>
        <w:tc>
          <w:tcPr>
            <w:tcW w:w="673" w:type="dxa"/>
            <w:tcBorders>
              <w:top w:val="nil"/>
              <w:left w:val="nil"/>
              <w:bottom w:val="single" w:sz="4" w:space="0" w:color="auto"/>
              <w:right w:val="single" w:sz="4" w:space="0" w:color="auto"/>
            </w:tcBorders>
            <w:shd w:val="clear" w:color="auto" w:fill="auto"/>
            <w:noWrap/>
            <w:vAlign w:val="center"/>
            <w:hideMark/>
          </w:tcPr>
          <w:p w14:paraId="506AE523"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32</w:t>
            </w:r>
          </w:p>
        </w:tc>
        <w:tc>
          <w:tcPr>
            <w:tcW w:w="671" w:type="dxa"/>
            <w:tcBorders>
              <w:top w:val="nil"/>
              <w:left w:val="nil"/>
              <w:bottom w:val="single" w:sz="4" w:space="0" w:color="auto"/>
              <w:right w:val="single" w:sz="4" w:space="0" w:color="auto"/>
            </w:tcBorders>
            <w:shd w:val="clear" w:color="auto" w:fill="auto"/>
            <w:noWrap/>
            <w:vAlign w:val="center"/>
            <w:hideMark/>
          </w:tcPr>
          <w:p w14:paraId="2FE53E77"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24</w:t>
            </w:r>
          </w:p>
        </w:tc>
        <w:tc>
          <w:tcPr>
            <w:tcW w:w="671" w:type="dxa"/>
            <w:tcBorders>
              <w:top w:val="nil"/>
              <w:left w:val="nil"/>
              <w:bottom w:val="single" w:sz="4" w:space="0" w:color="auto"/>
              <w:right w:val="single" w:sz="4" w:space="0" w:color="auto"/>
            </w:tcBorders>
            <w:shd w:val="clear" w:color="auto" w:fill="auto"/>
            <w:noWrap/>
            <w:vAlign w:val="center"/>
            <w:hideMark/>
          </w:tcPr>
          <w:p w14:paraId="089A3167"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223</w:t>
            </w:r>
          </w:p>
        </w:tc>
        <w:tc>
          <w:tcPr>
            <w:tcW w:w="673" w:type="dxa"/>
            <w:tcBorders>
              <w:top w:val="nil"/>
              <w:left w:val="nil"/>
              <w:bottom w:val="single" w:sz="4" w:space="0" w:color="auto"/>
              <w:right w:val="single" w:sz="4" w:space="0" w:color="auto"/>
            </w:tcBorders>
            <w:shd w:val="clear" w:color="auto" w:fill="auto"/>
            <w:noWrap/>
            <w:vAlign w:val="center"/>
            <w:hideMark/>
          </w:tcPr>
          <w:p w14:paraId="1E65EB8D"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52</w:t>
            </w:r>
          </w:p>
        </w:tc>
        <w:tc>
          <w:tcPr>
            <w:tcW w:w="671" w:type="dxa"/>
            <w:tcBorders>
              <w:top w:val="nil"/>
              <w:left w:val="nil"/>
              <w:bottom w:val="single" w:sz="4" w:space="0" w:color="auto"/>
              <w:right w:val="single" w:sz="4" w:space="0" w:color="auto"/>
            </w:tcBorders>
            <w:shd w:val="clear" w:color="auto" w:fill="auto"/>
            <w:noWrap/>
            <w:vAlign w:val="bottom"/>
            <w:hideMark/>
          </w:tcPr>
          <w:p w14:paraId="470A3D5D"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518</w:t>
            </w:r>
          </w:p>
        </w:tc>
        <w:tc>
          <w:tcPr>
            <w:tcW w:w="673" w:type="dxa"/>
            <w:tcBorders>
              <w:top w:val="nil"/>
              <w:left w:val="nil"/>
              <w:bottom w:val="single" w:sz="4" w:space="0" w:color="auto"/>
              <w:right w:val="single" w:sz="4" w:space="0" w:color="auto"/>
            </w:tcBorders>
            <w:shd w:val="clear" w:color="auto" w:fill="auto"/>
            <w:noWrap/>
            <w:vAlign w:val="bottom"/>
            <w:hideMark/>
          </w:tcPr>
          <w:p w14:paraId="6EE0FB03"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287</w:t>
            </w:r>
          </w:p>
        </w:tc>
        <w:tc>
          <w:tcPr>
            <w:tcW w:w="671" w:type="dxa"/>
            <w:tcBorders>
              <w:top w:val="nil"/>
              <w:left w:val="nil"/>
              <w:bottom w:val="single" w:sz="4" w:space="0" w:color="auto"/>
              <w:right w:val="single" w:sz="4" w:space="0" w:color="auto"/>
            </w:tcBorders>
            <w:shd w:val="clear" w:color="auto" w:fill="auto"/>
            <w:noWrap/>
            <w:vAlign w:val="bottom"/>
            <w:hideMark/>
          </w:tcPr>
          <w:p w14:paraId="480AA750"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91</w:t>
            </w:r>
          </w:p>
        </w:tc>
        <w:tc>
          <w:tcPr>
            <w:tcW w:w="673" w:type="dxa"/>
            <w:tcBorders>
              <w:top w:val="nil"/>
              <w:left w:val="nil"/>
              <w:bottom w:val="single" w:sz="4" w:space="0" w:color="auto"/>
              <w:right w:val="single" w:sz="4" w:space="0" w:color="auto"/>
            </w:tcBorders>
            <w:shd w:val="clear" w:color="auto" w:fill="auto"/>
            <w:noWrap/>
            <w:vAlign w:val="bottom"/>
            <w:hideMark/>
          </w:tcPr>
          <w:p w14:paraId="5BC18067"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509</w:t>
            </w:r>
          </w:p>
        </w:tc>
        <w:tc>
          <w:tcPr>
            <w:tcW w:w="671" w:type="dxa"/>
            <w:tcBorders>
              <w:top w:val="nil"/>
              <w:left w:val="nil"/>
              <w:bottom w:val="single" w:sz="4" w:space="0" w:color="auto"/>
              <w:right w:val="single" w:sz="4" w:space="0" w:color="auto"/>
            </w:tcBorders>
            <w:shd w:val="clear" w:color="auto" w:fill="auto"/>
            <w:noWrap/>
            <w:vAlign w:val="bottom"/>
            <w:hideMark/>
          </w:tcPr>
          <w:p w14:paraId="2967CF2E"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0</w:t>
            </w:r>
          </w:p>
        </w:tc>
        <w:tc>
          <w:tcPr>
            <w:tcW w:w="673" w:type="dxa"/>
            <w:tcBorders>
              <w:top w:val="nil"/>
              <w:left w:val="nil"/>
              <w:bottom w:val="single" w:sz="4" w:space="0" w:color="auto"/>
              <w:right w:val="single" w:sz="4" w:space="0" w:color="auto"/>
            </w:tcBorders>
            <w:shd w:val="clear" w:color="auto" w:fill="auto"/>
            <w:noWrap/>
            <w:vAlign w:val="bottom"/>
            <w:hideMark/>
          </w:tcPr>
          <w:p w14:paraId="0E83D06F"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573</w:t>
            </w:r>
          </w:p>
        </w:tc>
        <w:tc>
          <w:tcPr>
            <w:tcW w:w="671" w:type="dxa"/>
            <w:tcBorders>
              <w:top w:val="nil"/>
              <w:left w:val="nil"/>
              <w:bottom w:val="single" w:sz="4" w:space="0" w:color="auto"/>
              <w:right w:val="single" w:sz="4" w:space="0" w:color="auto"/>
            </w:tcBorders>
            <w:shd w:val="clear" w:color="auto" w:fill="auto"/>
            <w:noWrap/>
            <w:vAlign w:val="bottom"/>
            <w:hideMark/>
          </w:tcPr>
          <w:p w14:paraId="71DFF90E"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4 521</w:t>
            </w:r>
          </w:p>
        </w:tc>
        <w:tc>
          <w:tcPr>
            <w:tcW w:w="673" w:type="dxa"/>
            <w:tcBorders>
              <w:top w:val="nil"/>
              <w:left w:val="nil"/>
              <w:bottom w:val="single" w:sz="4" w:space="0" w:color="auto"/>
              <w:right w:val="single" w:sz="4" w:space="0" w:color="auto"/>
            </w:tcBorders>
            <w:shd w:val="clear" w:color="auto" w:fill="auto"/>
            <w:noWrap/>
            <w:vAlign w:val="bottom"/>
            <w:hideMark/>
          </w:tcPr>
          <w:p w14:paraId="386279E9"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6 049</w:t>
            </w:r>
          </w:p>
        </w:tc>
      </w:tr>
      <w:tr w:rsidR="00DB1F4D" w:rsidRPr="005053C3" w14:paraId="52901B3B" w14:textId="77777777" w:rsidTr="195A9735">
        <w:trPr>
          <w:trHeight w:val="131"/>
        </w:trPr>
        <w:tc>
          <w:tcPr>
            <w:tcW w:w="988" w:type="dxa"/>
            <w:tcBorders>
              <w:top w:val="nil"/>
              <w:left w:val="single" w:sz="4" w:space="0" w:color="auto"/>
              <w:bottom w:val="single" w:sz="4" w:space="0" w:color="auto"/>
              <w:right w:val="single" w:sz="4" w:space="0" w:color="auto"/>
            </w:tcBorders>
            <w:shd w:val="clear" w:color="auto" w:fill="auto"/>
            <w:hideMark/>
          </w:tcPr>
          <w:p w14:paraId="4EAB4496"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Provider 6</w:t>
            </w:r>
          </w:p>
        </w:tc>
        <w:tc>
          <w:tcPr>
            <w:tcW w:w="622" w:type="dxa"/>
            <w:tcBorders>
              <w:top w:val="nil"/>
              <w:left w:val="nil"/>
              <w:bottom w:val="single" w:sz="4" w:space="0" w:color="auto"/>
              <w:right w:val="single" w:sz="4" w:space="0" w:color="auto"/>
            </w:tcBorders>
            <w:shd w:val="clear" w:color="auto" w:fill="auto"/>
            <w:noWrap/>
            <w:hideMark/>
          </w:tcPr>
          <w:p w14:paraId="1B7305C9"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xml:space="preserve">Tbilisi </w:t>
            </w:r>
          </w:p>
        </w:tc>
        <w:tc>
          <w:tcPr>
            <w:tcW w:w="798" w:type="dxa"/>
            <w:tcBorders>
              <w:top w:val="nil"/>
              <w:left w:val="nil"/>
              <w:bottom w:val="single" w:sz="4" w:space="0" w:color="auto"/>
              <w:right w:val="single" w:sz="4" w:space="0" w:color="auto"/>
            </w:tcBorders>
            <w:shd w:val="clear" w:color="auto" w:fill="auto"/>
            <w:noWrap/>
            <w:hideMark/>
          </w:tcPr>
          <w:p w14:paraId="26B1BAF3"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Urban and rural</w:t>
            </w:r>
          </w:p>
        </w:tc>
        <w:tc>
          <w:tcPr>
            <w:tcW w:w="671" w:type="dxa"/>
            <w:tcBorders>
              <w:top w:val="nil"/>
              <w:left w:val="nil"/>
              <w:bottom w:val="single" w:sz="4" w:space="0" w:color="auto"/>
              <w:right w:val="single" w:sz="4" w:space="0" w:color="auto"/>
            </w:tcBorders>
            <w:shd w:val="clear" w:color="auto" w:fill="auto"/>
            <w:noWrap/>
            <w:hideMark/>
          </w:tcPr>
          <w:p w14:paraId="0B5DC855"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32 000</w:t>
            </w:r>
          </w:p>
        </w:tc>
        <w:tc>
          <w:tcPr>
            <w:tcW w:w="671" w:type="dxa"/>
            <w:tcBorders>
              <w:top w:val="nil"/>
              <w:left w:val="nil"/>
              <w:bottom w:val="single" w:sz="4" w:space="0" w:color="auto"/>
              <w:right w:val="single" w:sz="4" w:space="0" w:color="auto"/>
            </w:tcBorders>
            <w:shd w:val="clear" w:color="auto" w:fill="auto"/>
            <w:noWrap/>
            <w:vAlign w:val="bottom"/>
            <w:hideMark/>
          </w:tcPr>
          <w:p w14:paraId="27DB265E"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32 000</w:t>
            </w:r>
          </w:p>
        </w:tc>
        <w:tc>
          <w:tcPr>
            <w:tcW w:w="673" w:type="dxa"/>
            <w:tcBorders>
              <w:top w:val="nil"/>
              <w:left w:val="nil"/>
              <w:bottom w:val="single" w:sz="4" w:space="0" w:color="auto"/>
              <w:right w:val="single" w:sz="4" w:space="0" w:color="auto"/>
            </w:tcBorders>
            <w:shd w:val="clear" w:color="auto" w:fill="auto"/>
            <w:noWrap/>
            <w:vAlign w:val="bottom"/>
            <w:hideMark/>
          </w:tcPr>
          <w:p w14:paraId="1D5BB48D"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1,92</w:t>
            </w:r>
          </w:p>
        </w:tc>
        <w:tc>
          <w:tcPr>
            <w:tcW w:w="671" w:type="dxa"/>
            <w:tcBorders>
              <w:top w:val="nil"/>
              <w:left w:val="nil"/>
              <w:bottom w:val="single" w:sz="4" w:space="0" w:color="auto"/>
              <w:right w:val="single" w:sz="4" w:space="0" w:color="auto"/>
            </w:tcBorders>
            <w:shd w:val="clear" w:color="auto" w:fill="auto"/>
            <w:noWrap/>
            <w:vAlign w:val="bottom"/>
            <w:hideMark/>
          </w:tcPr>
          <w:p w14:paraId="622A34E0"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5,90</w:t>
            </w:r>
          </w:p>
        </w:tc>
        <w:tc>
          <w:tcPr>
            <w:tcW w:w="673" w:type="dxa"/>
            <w:tcBorders>
              <w:top w:val="nil"/>
              <w:left w:val="nil"/>
              <w:bottom w:val="single" w:sz="4" w:space="0" w:color="auto"/>
              <w:right w:val="single" w:sz="4" w:space="0" w:color="auto"/>
            </w:tcBorders>
            <w:shd w:val="clear" w:color="auto" w:fill="auto"/>
            <w:noWrap/>
            <w:vAlign w:val="bottom"/>
            <w:hideMark/>
          </w:tcPr>
          <w:p w14:paraId="083B634C"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1 020</w:t>
            </w:r>
          </w:p>
        </w:tc>
        <w:tc>
          <w:tcPr>
            <w:tcW w:w="671" w:type="dxa"/>
            <w:tcBorders>
              <w:top w:val="nil"/>
              <w:left w:val="nil"/>
              <w:bottom w:val="single" w:sz="4" w:space="0" w:color="auto"/>
              <w:right w:val="single" w:sz="4" w:space="0" w:color="auto"/>
            </w:tcBorders>
            <w:shd w:val="clear" w:color="auto" w:fill="auto"/>
            <w:noWrap/>
            <w:vAlign w:val="bottom"/>
            <w:hideMark/>
          </w:tcPr>
          <w:p w14:paraId="695D1FFE"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663</w:t>
            </w:r>
          </w:p>
        </w:tc>
        <w:tc>
          <w:tcPr>
            <w:tcW w:w="673" w:type="dxa"/>
            <w:tcBorders>
              <w:top w:val="nil"/>
              <w:left w:val="nil"/>
              <w:bottom w:val="single" w:sz="4" w:space="0" w:color="auto"/>
              <w:right w:val="single" w:sz="4" w:space="0" w:color="auto"/>
            </w:tcBorders>
            <w:shd w:val="clear" w:color="auto" w:fill="auto"/>
            <w:noWrap/>
            <w:vAlign w:val="bottom"/>
            <w:hideMark/>
          </w:tcPr>
          <w:p w14:paraId="34A134C2"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1 275</w:t>
            </w:r>
          </w:p>
        </w:tc>
        <w:tc>
          <w:tcPr>
            <w:tcW w:w="671" w:type="dxa"/>
            <w:tcBorders>
              <w:top w:val="nil"/>
              <w:left w:val="nil"/>
              <w:bottom w:val="single" w:sz="4" w:space="0" w:color="auto"/>
              <w:right w:val="single" w:sz="4" w:space="0" w:color="auto"/>
            </w:tcBorders>
            <w:shd w:val="clear" w:color="auto" w:fill="auto"/>
            <w:noWrap/>
            <w:vAlign w:val="bottom"/>
            <w:hideMark/>
          </w:tcPr>
          <w:p w14:paraId="2771B605"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829</w:t>
            </w:r>
          </w:p>
        </w:tc>
        <w:tc>
          <w:tcPr>
            <w:tcW w:w="673" w:type="dxa"/>
            <w:tcBorders>
              <w:top w:val="nil"/>
              <w:left w:val="nil"/>
              <w:bottom w:val="single" w:sz="4" w:space="0" w:color="auto"/>
              <w:right w:val="single" w:sz="4" w:space="0" w:color="auto"/>
            </w:tcBorders>
            <w:shd w:val="clear" w:color="auto" w:fill="auto"/>
            <w:noWrap/>
            <w:vAlign w:val="center"/>
            <w:hideMark/>
          </w:tcPr>
          <w:p w14:paraId="5060927E" w14:textId="15C44769" w:rsidR="00DB1F4D" w:rsidRPr="005053C3" w:rsidRDefault="00021F86"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51</w:t>
            </w:r>
          </w:p>
        </w:tc>
        <w:tc>
          <w:tcPr>
            <w:tcW w:w="671" w:type="dxa"/>
            <w:tcBorders>
              <w:top w:val="nil"/>
              <w:left w:val="nil"/>
              <w:bottom w:val="single" w:sz="4" w:space="0" w:color="auto"/>
              <w:right w:val="single" w:sz="4" w:space="0" w:color="auto"/>
            </w:tcBorders>
            <w:shd w:val="clear" w:color="auto" w:fill="auto"/>
            <w:noWrap/>
            <w:vAlign w:val="center"/>
            <w:hideMark/>
          </w:tcPr>
          <w:p w14:paraId="23E0B9DA"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18</w:t>
            </w:r>
          </w:p>
        </w:tc>
        <w:tc>
          <w:tcPr>
            <w:tcW w:w="671" w:type="dxa"/>
            <w:tcBorders>
              <w:top w:val="nil"/>
              <w:left w:val="nil"/>
              <w:bottom w:val="single" w:sz="4" w:space="0" w:color="auto"/>
              <w:right w:val="single" w:sz="4" w:space="0" w:color="auto"/>
            </w:tcBorders>
            <w:shd w:val="clear" w:color="auto" w:fill="auto"/>
            <w:noWrap/>
            <w:vAlign w:val="center"/>
            <w:hideMark/>
          </w:tcPr>
          <w:p w14:paraId="7F469E02"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236</w:t>
            </w:r>
          </w:p>
        </w:tc>
        <w:tc>
          <w:tcPr>
            <w:tcW w:w="673" w:type="dxa"/>
            <w:tcBorders>
              <w:top w:val="nil"/>
              <w:left w:val="nil"/>
              <w:bottom w:val="single" w:sz="4" w:space="0" w:color="auto"/>
              <w:right w:val="single" w:sz="4" w:space="0" w:color="auto"/>
            </w:tcBorders>
            <w:shd w:val="clear" w:color="auto" w:fill="auto"/>
            <w:noWrap/>
            <w:vAlign w:val="center"/>
            <w:hideMark/>
          </w:tcPr>
          <w:p w14:paraId="5328AD4F"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91</w:t>
            </w:r>
          </w:p>
        </w:tc>
        <w:tc>
          <w:tcPr>
            <w:tcW w:w="671" w:type="dxa"/>
            <w:tcBorders>
              <w:top w:val="nil"/>
              <w:left w:val="nil"/>
              <w:bottom w:val="single" w:sz="4" w:space="0" w:color="auto"/>
              <w:right w:val="single" w:sz="4" w:space="0" w:color="auto"/>
            </w:tcBorders>
            <w:shd w:val="clear" w:color="auto" w:fill="auto"/>
            <w:noWrap/>
            <w:vAlign w:val="center"/>
            <w:hideMark/>
          </w:tcPr>
          <w:p w14:paraId="5A8D8FD5"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553</w:t>
            </w:r>
          </w:p>
        </w:tc>
        <w:tc>
          <w:tcPr>
            <w:tcW w:w="673" w:type="dxa"/>
            <w:tcBorders>
              <w:top w:val="nil"/>
              <w:left w:val="nil"/>
              <w:bottom w:val="single" w:sz="4" w:space="0" w:color="auto"/>
              <w:right w:val="single" w:sz="4" w:space="0" w:color="auto"/>
            </w:tcBorders>
            <w:shd w:val="clear" w:color="auto" w:fill="auto"/>
            <w:noWrap/>
            <w:vAlign w:val="bottom"/>
            <w:hideMark/>
          </w:tcPr>
          <w:p w14:paraId="03D3B9F2"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154</w:t>
            </w:r>
          </w:p>
        </w:tc>
        <w:tc>
          <w:tcPr>
            <w:tcW w:w="671" w:type="dxa"/>
            <w:tcBorders>
              <w:top w:val="nil"/>
              <w:left w:val="nil"/>
              <w:bottom w:val="single" w:sz="4" w:space="0" w:color="auto"/>
              <w:right w:val="single" w:sz="4" w:space="0" w:color="auto"/>
            </w:tcBorders>
            <w:shd w:val="clear" w:color="auto" w:fill="auto"/>
            <w:noWrap/>
            <w:vAlign w:val="bottom"/>
            <w:hideMark/>
          </w:tcPr>
          <w:p w14:paraId="6C912B0A"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7</w:t>
            </w:r>
          </w:p>
        </w:tc>
        <w:tc>
          <w:tcPr>
            <w:tcW w:w="673" w:type="dxa"/>
            <w:tcBorders>
              <w:top w:val="nil"/>
              <w:left w:val="nil"/>
              <w:bottom w:val="single" w:sz="4" w:space="0" w:color="auto"/>
              <w:right w:val="single" w:sz="4" w:space="0" w:color="auto"/>
            </w:tcBorders>
            <w:shd w:val="clear" w:color="auto" w:fill="auto"/>
            <w:noWrap/>
            <w:vAlign w:val="bottom"/>
            <w:hideMark/>
          </w:tcPr>
          <w:p w14:paraId="182D0C55"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112</w:t>
            </w:r>
          </w:p>
        </w:tc>
        <w:tc>
          <w:tcPr>
            <w:tcW w:w="671" w:type="dxa"/>
            <w:tcBorders>
              <w:top w:val="nil"/>
              <w:left w:val="nil"/>
              <w:bottom w:val="single" w:sz="4" w:space="0" w:color="auto"/>
              <w:right w:val="single" w:sz="4" w:space="0" w:color="auto"/>
            </w:tcBorders>
            <w:shd w:val="clear" w:color="auto" w:fill="auto"/>
            <w:noWrap/>
            <w:vAlign w:val="bottom"/>
            <w:hideMark/>
          </w:tcPr>
          <w:p w14:paraId="133EC95C"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4</w:t>
            </w:r>
          </w:p>
        </w:tc>
        <w:tc>
          <w:tcPr>
            <w:tcW w:w="673" w:type="dxa"/>
            <w:tcBorders>
              <w:top w:val="nil"/>
              <w:left w:val="nil"/>
              <w:bottom w:val="single" w:sz="4" w:space="0" w:color="auto"/>
              <w:right w:val="single" w:sz="4" w:space="0" w:color="auto"/>
            </w:tcBorders>
            <w:shd w:val="clear" w:color="auto" w:fill="auto"/>
            <w:noWrap/>
            <w:vAlign w:val="bottom"/>
            <w:hideMark/>
          </w:tcPr>
          <w:p w14:paraId="6ABF95E7"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661</w:t>
            </w:r>
          </w:p>
        </w:tc>
        <w:tc>
          <w:tcPr>
            <w:tcW w:w="671" w:type="dxa"/>
            <w:tcBorders>
              <w:top w:val="nil"/>
              <w:left w:val="nil"/>
              <w:bottom w:val="single" w:sz="4" w:space="0" w:color="auto"/>
              <w:right w:val="single" w:sz="4" w:space="0" w:color="auto"/>
            </w:tcBorders>
            <w:shd w:val="clear" w:color="auto" w:fill="auto"/>
            <w:noWrap/>
            <w:vAlign w:val="bottom"/>
            <w:hideMark/>
          </w:tcPr>
          <w:p w14:paraId="52E6A3B2"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4 142</w:t>
            </w:r>
          </w:p>
        </w:tc>
        <w:tc>
          <w:tcPr>
            <w:tcW w:w="673" w:type="dxa"/>
            <w:tcBorders>
              <w:top w:val="nil"/>
              <w:left w:val="nil"/>
              <w:bottom w:val="single" w:sz="4" w:space="0" w:color="auto"/>
              <w:right w:val="single" w:sz="4" w:space="0" w:color="auto"/>
            </w:tcBorders>
            <w:shd w:val="clear" w:color="auto" w:fill="auto"/>
            <w:noWrap/>
            <w:vAlign w:val="bottom"/>
            <w:hideMark/>
          </w:tcPr>
          <w:p w14:paraId="7522C944"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5 056</w:t>
            </w:r>
          </w:p>
        </w:tc>
      </w:tr>
      <w:tr w:rsidR="00DB1F4D" w:rsidRPr="005053C3" w14:paraId="3BCC58E6" w14:textId="77777777" w:rsidTr="195A9735">
        <w:trPr>
          <w:trHeight w:val="131"/>
        </w:trPr>
        <w:tc>
          <w:tcPr>
            <w:tcW w:w="988" w:type="dxa"/>
            <w:tcBorders>
              <w:top w:val="nil"/>
              <w:left w:val="single" w:sz="4" w:space="0" w:color="auto"/>
              <w:bottom w:val="single" w:sz="4" w:space="0" w:color="auto"/>
              <w:right w:val="single" w:sz="4" w:space="0" w:color="auto"/>
            </w:tcBorders>
            <w:shd w:val="clear" w:color="auto" w:fill="auto"/>
            <w:hideMark/>
          </w:tcPr>
          <w:p w14:paraId="7D718511"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Provider 7</w:t>
            </w:r>
          </w:p>
        </w:tc>
        <w:tc>
          <w:tcPr>
            <w:tcW w:w="622" w:type="dxa"/>
            <w:tcBorders>
              <w:top w:val="nil"/>
              <w:left w:val="nil"/>
              <w:bottom w:val="single" w:sz="4" w:space="0" w:color="auto"/>
              <w:right w:val="single" w:sz="4" w:space="0" w:color="auto"/>
            </w:tcBorders>
            <w:shd w:val="clear" w:color="auto" w:fill="auto"/>
            <w:noWrap/>
            <w:hideMark/>
          </w:tcPr>
          <w:p w14:paraId="070AC6D4"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Rustavi</w:t>
            </w:r>
          </w:p>
        </w:tc>
        <w:tc>
          <w:tcPr>
            <w:tcW w:w="798" w:type="dxa"/>
            <w:tcBorders>
              <w:top w:val="nil"/>
              <w:left w:val="nil"/>
              <w:bottom w:val="single" w:sz="4" w:space="0" w:color="auto"/>
              <w:right w:val="single" w:sz="4" w:space="0" w:color="auto"/>
            </w:tcBorders>
            <w:shd w:val="clear" w:color="auto" w:fill="auto"/>
            <w:noWrap/>
            <w:hideMark/>
          </w:tcPr>
          <w:p w14:paraId="437A6AFD"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Urban</w:t>
            </w:r>
          </w:p>
        </w:tc>
        <w:tc>
          <w:tcPr>
            <w:tcW w:w="671" w:type="dxa"/>
            <w:tcBorders>
              <w:top w:val="nil"/>
              <w:left w:val="nil"/>
              <w:bottom w:val="single" w:sz="4" w:space="0" w:color="auto"/>
              <w:right w:val="single" w:sz="4" w:space="0" w:color="auto"/>
            </w:tcBorders>
            <w:shd w:val="clear" w:color="auto" w:fill="auto"/>
            <w:noWrap/>
            <w:hideMark/>
          </w:tcPr>
          <w:p w14:paraId="4A6739AF"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60 000</w:t>
            </w:r>
          </w:p>
        </w:tc>
        <w:tc>
          <w:tcPr>
            <w:tcW w:w="671" w:type="dxa"/>
            <w:tcBorders>
              <w:top w:val="nil"/>
              <w:left w:val="nil"/>
              <w:bottom w:val="single" w:sz="4" w:space="0" w:color="auto"/>
              <w:right w:val="single" w:sz="4" w:space="0" w:color="auto"/>
            </w:tcBorders>
            <w:shd w:val="clear" w:color="auto" w:fill="auto"/>
            <w:noWrap/>
            <w:vAlign w:val="bottom"/>
            <w:hideMark/>
          </w:tcPr>
          <w:p w14:paraId="751CDD3E"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60 000</w:t>
            </w:r>
          </w:p>
        </w:tc>
        <w:tc>
          <w:tcPr>
            <w:tcW w:w="673" w:type="dxa"/>
            <w:tcBorders>
              <w:top w:val="nil"/>
              <w:left w:val="nil"/>
              <w:bottom w:val="single" w:sz="4" w:space="0" w:color="auto"/>
              <w:right w:val="single" w:sz="4" w:space="0" w:color="auto"/>
            </w:tcBorders>
            <w:shd w:val="clear" w:color="auto" w:fill="auto"/>
            <w:noWrap/>
            <w:vAlign w:val="bottom"/>
            <w:hideMark/>
          </w:tcPr>
          <w:p w14:paraId="6F607839"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1,91</w:t>
            </w:r>
          </w:p>
        </w:tc>
        <w:tc>
          <w:tcPr>
            <w:tcW w:w="671" w:type="dxa"/>
            <w:tcBorders>
              <w:top w:val="nil"/>
              <w:left w:val="nil"/>
              <w:bottom w:val="single" w:sz="4" w:space="0" w:color="auto"/>
              <w:right w:val="single" w:sz="4" w:space="0" w:color="auto"/>
            </w:tcBorders>
            <w:shd w:val="clear" w:color="auto" w:fill="auto"/>
            <w:noWrap/>
            <w:vAlign w:val="bottom"/>
            <w:hideMark/>
          </w:tcPr>
          <w:p w14:paraId="62F127B4"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1,98</w:t>
            </w:r>
          </w:p>
        </w:tc>
        <w:tc>
          <w:tcPr>
            <w:tcW w:w="673" w:type="dxa"/>
            <w:tcBorders>
              <w:top w:val="nil"/>
              <w:left w:val="nil"/>
              <w:bottom w:val="single" w:sz="4" w:space="0" w:color="auto"/>
              <w:right w:val="single" w:sz="4" w:space="0" w:color="auto"/>
            </w:tcBorders>
            <w:shd w:val="clear" w:color="auto" w:fill="auto"/>
            <w:noWrap/>
            <w:vAlign w:val="bottom"/>
            <w:hideMark/>
          </w:tcPr>
          <w:p w14:paraId="588D0E1D"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766</w:t>
            </w:r>
          </w:p>
        </w:tc>
        <w:tc>
          <w:tcPr>
            <w:tcW w:w="671" w:type="dxa"/>
            <w:tcBorders>
              <w:top w:val="nil"/>
              <w:left w:val="nil"/>
              <w:bottom w:val="single" w:sz="4" w:space="0" w:color="auto"/>
              <w:right w:val="single" w:sz="4" w:space="0" w:color="auto"/>
            </w:tcBorders>
            <w:shd w:val="clear" w:color="auto" w:fill="auto"/>
            <w:noWrap/>
            <w:vAlign w:val="bottom"/>
            <w:hideMark/>
          </w:tcPr>
          <w:p w14:paraId="366353B0"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334</w:t>
            </w:r>
          </w:p>
        </w:tc>
        <w:tc>
          <w:tcPr>
            <w:tcW w:w="673" w:type="dxa"/>
            <w:tcBorders>
              <w:top w:val="nil"/>
              <w:left w:val="nil"/>
              <w:bottom w:val="single" w:sz="4" w:space="0" w:color="auto"/>
              <w:right w:val="single" w:sz="4" w:space="0" w:color="auto"/>
            </w:tcBorders>
            <w:shd w:val="clear" w:color="auto" w:fill="auto"/>
            <w:noWrap/>
            <w:vAlign w:val="bottom"/>
            <w:hideMark/>
          </w:tcPr>
          <w:p w14:paraId="1B8E6905"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905</w:t>
            </w:r>
          </w:p>
        </w:tc>
        <w:tc>
          <w:tcPr>
            <w:tcW w:w="671" w:type="dxa"/>
            <w:tcBorders>
              <w:top w:val="nil"/>
              <w:left w:val="nil"/>
              <w:bottom w:val="single" w:sz="4" w:space="0" w:color="auto"/>
              <w:right w:val="single" w:sz="4" w:space="0" w:color="auto"/>
            </w:tcBorders>
            <w:shd w:val="clear" w:color="auto" w:fill="auto"/>
            <w:noWrap/>
            <w:vAlign w:val="bottom"/>
            <w:hideMark/>
          </w:tcPr>
          <w:p w14:paraId="415FB5BD"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355</w:t>
            </w:r>
          </w:p>
        </w:tc>
        <w:tc>
          <w:tcPr>
            <w:tcW w:w="673" w:type="dxa"/>
            <w:tcBorders>
              <w:top w:val="nil"/>
              <w:left w:val="nil"/>
              <w:bottom w:val="single" w:sz="4" w:space="0" w:color="auto"/>
              <w:right w:val="single" w:sz="4" w:space="0" w:color="auto"/>
            </w:tcBorders>
            <w:shd w:val="clear" w:color="auto" w:fill="auto"/>
            <w:noWrap/>
            <w:vAlign w:val="center"/>
            <w:hideMark/>
          </w:tcPr>
          <w:p w14:paraId="0FCBF419"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30</w:t>
            </w:r>
          </w:p>
        </w:tc>
        <w:tc>
          <w:tcPr>
            <w:tcW w:w="671" w:type="dxa"/>
            <w:tcBorders>
              <w:top w:val="nil"/>
              <w:left w:val="nil"/>
              <w:bottom w:val="single" w:sz="4" w:space="0" w:color="auto"/>
              <w:right w:val="single" w:sz="4" w:space="0" w:color="auto"/>
            </w:tcBorders>
            <w:shd w:val="clear" w:color="auto" w:fill="auto"/>
            <w:noWrap/>
            <w:vAlign w:val="center"/>
            <w:hideMark/>
          </w:tcPr>
          <w:p w14:paraId="1E600DCB"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100</w:t>
            </w:r>
          </w:p>
        </w:tc>
        <w:tc>
          <w:tcPr>
            <w:tcW w:w="671" w:type="dxa"/>
            <w:tcBorders>
              <w:top w:val="nil"/>
              <w:left w:val="nil"/>
              <w:bottom w:val="single" w:sz="4" w:space="0" w:color="auto"/>
              <w:right w:val="single" w:sz="4" w:space="0" w:color="auto"/>
            </w:tcBorders>
            <w:shd w:val="clear" w:color="auto" w:fill="auto"/>
            <w:noWrap/>
            <w:vAlign w:val="center"/>
            <w:hideMark/>
          </w:tcPr>
          <w:p w14:paraId="65FDECC0"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416</w:t>
            </w:r>
          </w:p>
        </w:tc>
        <w:tc>
          <w:tcPr>
            <w:tcW w:w="673" w:type="dxa"/>
            <w:tcBorders>
              <w:top w:val="nil"/>
              <w:left w:val="nil"/>
              <w:bottom w:val="single" w:sz="4" w:space="0" w:color="auto"/>
              <w:right w:val="single" w:sz="4" w:space="0" w:color="auto"/>
            </w:tcBorders>
            <w:shd w:val="clear" w:color="auto" w:fill="auto"/>
            <w:noWrap/>
            <w:vAlign w:val="center"/>
            <w:hideMark/>
          </w:tcPr>
          <w:p w14:paraId="597070F1"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117</w:t>
            </w:r>
          </w:p>
        </w:tc>
        <w:tc>
          <w:tcPr>
            <w:tcW w:w="671" w:type="dxa"/>
            <w:tcBorders>
              <w:top w:val="nil"/>
              <w:left w:val="nil"/>
              <w:bottom w:val="single" w:sz="4" w:space="0" w:color="auto"/>
              <w:right w:val="single" w:sz="4" w:space="0" w:color="auto"/>
            </w:tcBorders>
            <w:shd w:val="clear" w:color="auto" w:fill="auto"/>
            <w:noWrap/>
            <w:vAlign w:val="center"/>
            <w:hideMark/>
          </w:tcPr>
          <w:p w14:paraId="49A9BCAB"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618</w:t>
            </w:r>
          </w:p>
        </w:tc>
        <w:tc>
          <w:tcPr>
            <w:tcW w:w="673" w:type="dxa"/>
            <w:tcBorders>
              <w:top w:val="nil"/>
              <w:left w:val="nil"/>
              <w:bottom w:val="single" w:sz="4" w:space="0" w:color="auto"/>
              <w:right w:val="single" w:sz="4" w:space="0" w:color="auto"/>
            </w:tcBorders>
            <w:shd w:val="clear" w:color="auto" w:fill="auto"/>
            <w:noWrap/>
            <w:vAlign w:val="bottom"/>
            <w:hideMark/>
          </w:tcPr>
          <w:p w14:paraId="0FB7D446"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446</w:t>
            </w:r>
          </w:p>
        </w:tc>
        <w:tc>
          <w:tcPr>
            <w:tcW w:w="671" w:type="dxa"/>
            <w:tcBorders>
              <w:top w:val="nil"/>
              <w:left w:val="nil"/>
              <w:bottom w:val="single" w:sz="4" w:space="0" w:color="auto"/>
              <w:right w:val="single" w:sz="4" w:space="0" w:color="auto"/>
            </w:tcBorders>
            <w:shd w:val="clear" w:color="auto" w:fill="auto"/>
            <w:noWrap/>
            <w:vAlign w:val="bottom"/>
            <w:hideMark/>
          </w:tcPr>
          <w:p w14:paraId="1A574757"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74</w:t>
            </w:r>
          </w:p>
        </w:tc>
        <w:tc>
          <w:tcPr>
            <w:tcW w:w="673" w:type="dxa"/>
            <w:tcBorders>
              <w:top w:val="nil"/>
              <w:left w:val="nil"/>
              <w:bottom w:val="single" w:sz="4" w:space="0" w:color="auto"/>
              <w:right w:val="single" w:sz="4" w:space="0" w:color="auto"/>
            </w:tcBorders>
            <w:shd w:val="clear" w:color="auto" w:fill="auto"/>
            <w:noWrap/>
            <w:vAlign w:val="bottom"/>
            <w:hideMark/>
          </w:tcPr>
          <w:p w14:paraId="21589A24"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230</w:t>
            </w:r>
          </w:p>
        </w:tc>
        <w:tc>
          <w:tcPr>
            <w:tcW w:w="671" w:type="dxa"/>
            <w:tcBorders>
              <w:top w:val="nil"/>
              <w:left w:val="nil"/>
              <w:bottom w:val="single" w:sz="4" w:space="0" w:color="auto"/>
              <w:right w:val="single" w:sz="4" w:space="0" w:color="auto"/>
            </w:tcBorders>
            <w:shd w:val="clear" w:color="auto" w:fill="auto"/>
            <w:noWrap/>
            <w:vAlign w:val="bottom"/>
            <w:hideMark/>
          </w:tcPr>
          <w:p w14:paraId="5F1E2022"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0</w:t>
            </w:r>
          </w:p>
        </w:tc>
        <w:tc>
          <w:tcPr>
            <w:tcW w:w="673" w:type="dxa"/>
            <w:tcBorders>
              <w:top w:val="nil"/>
              <w:left w:val="nil"/>
              <w:bottom w:val="single" w:sz="4" w:space="0" w:color="auto"/>
              <w:right w:val="single" w:sz="4" w:space="0" w:color="auto"/>
            </w:tcBorders>
            <w:shd w:val="clear" w:color="auto" w:fill="auto"/>
            <w:noWrap/>
            <w:vAlign w:val="bottom"/>
            <w:hideMark/>
          </w:tcPr>
          <w:p w14:paraId="21C39604"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226</w:t>
            </w:r>
          </w:p>
        </w:tc>
        <w:tc>
          <w:tcPr>
            <w:tcW w:w="671" w:type="dxa"/>
            <w:tcBorders>
              <w:top w:val="nil"/>
              <w:left w:val="nil"/>
              <w:bottom w:val="single" w:sz="4" w:space="0" w:color="auto"/>
              <w:right w:val="single" w:sz="4" w:space="0" w:color="auto"/>
            </w:tcBorders>
            <w:shd w:val="clear" w:color="auto" w:fill="auto"/>
            <w:noWrap/>
            <w:vAlign w:val="bottom"/>
            <w:hideMark/>
          </w:tcPr>
          <w:p w14:paraId="675ECCE0"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3 319</w:t>
            </w:r>
          </w:p>
        </w:tc>
        <w:tc>
          <w:tcPr>
            <w:tcW w:w="673" w:type="dxa"/>
            <w:tcBorders>
              <w:top w:val="nil"/>
              <w:left w:val="nil"/>
              <w:bottom w:val="single" w:sz="4" w:space="0" w:color="auto"/>
              <w:right w:val="single" w:sz="4" w:space="0" w:color="auto"/>
            </w:tcBorders>
            <w:shd w:val="clear" w:color="auto" w:fill="auto"/>
            <w:noWrap/>
            <w:vAlign w:val="bottom"/>
            <w:hideMark/>
          </w:tcPr>
          <w:p w14:paraId="3AE69AC5"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9 319</w:t>
            </w:r>
          </w:p>
        </w:tc>
      </w:tr>
      <w:tr w:rsidR="00DB1F4D" w:rsidRPr="005053C3" w14:paraId="1CCAF71B" w14:textId="77777777" w:rsidTr="195A9735">
        <w:trPr>
          <w:trHeight w:val="131"/>
        </w:trPr>
        <w:tc>
          <w:tcPr>
            <w:tcW w:w="988" w:type="dxa"/>
            <w:tcBorders>
              <w:top w:val="nil"/>
              <w:left w:val="single" w:sz="4" w:space="0" w:color="auto"/>
              <w:bottom w:val="single" w:sz="4" w:space="0" w:color="auto"/>
              <w:right w:val="single" w:sz="4" w:space="0" w:color="auto"/>
            </w:tcBorders>
            <w:shd w:val="clear" w:color="auto" w:fill="auto"/>
            <w:hideMark/>
          </w:tcPr>
          <w:p w14:paraId="297B4786"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Provider 8</w:t>
            </w:r>
          </w:p>
        </w:tc>
        <w:tc>
          <w:tcPr>
            <w:tcW w:w="622" w:type="dxa"/>
            <w:tcBorders>
              <w:top w:val="nil"/>
              <w:left w:val="nil"/>
              <w:bottom w:val="single" w:sz="4" w:space="0" w:color="auto"/>
              <w:right w:val="single" w:sz="4" w:space="0" w:color="auto"/>
            </w:tcBorders>
            <w:shd w:val="clear" w:color="auto" w:fill="auto"/>
            <w:noWrap/>
            <w:hideMark/>
          </w:tcPr>
          <w:p w14:paraId="79739C98"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Vake District</w:t>
            </w:r>
          </w:p>
        </w:tc>
        <w:tc>
          <w:tcPr>
            <w:tcW w:w="798" w:type="dxa"/>
            <w:tcBorders>
              <w:top w:val="nil"/>
              <w:left w:val="nil"/>
              <w:bottom w:val="single" w:sz="4" w:space="0" w:color="auto"/>
              <w:right w:val="single" w:sz="4" w:space="0" w:color="auto"/>
            </w:tcBorders>
            <w:shd w:val="clear" w:color="auto" w:fill="auto"/>
            <w:noWrap/>
            <w:hideMark/>
          </w:tcPr>
          <w:p w14:paraId="634B66E8"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Urban</w:t>
            </w:r>
          </w:p>
        </w:tc>
        <w:tc>
          <w:tcPr>
            <w:tcW w:w="671" w:type="dxa"/>
            <w:tcBorders>
              <w:top w:val="nil"/>
              <w:left w:val="nil"/>
              <w:bottom w:val="single" w:sz="4" w:space="0" w:color="auto"/>
              <w:right w:val="single" w:sz="4" w:space="0" w:color="auto"/>
            </w:tcBorders>
            <w:shd w:val="clear" w:color="auto" w:fill="auto"/>
            <w:noWrap/>
            <w:hideMark/>
          </w:tcPr>
          <w:p w14:paraId="5EB7BD81"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14 000</w:t>
            </w:r>
          </w:p>
        </w:tc>
        <w:tc>
          <w:tcPr>
            <w:tcW w:w="671" w:type="dxa"/>
            <w:tcBorders>
              <w:top w:val="nil"/>
              <w:left w:val="nil"/>
              <w:bottom w:val="single" w:sz="4" w:space="0" w:color="auto"/>
              <w:right w:val="single" w:sz="4" w:space="0" w:color="auto"/>
            </w:tcBorders>
            <w:shd w:val="clear" w:color="auto" w:fill="auto"/>
            <w:noWrap/>
            <w:vAlign w:val="bottom"/>
            <w:hideMark/>
          </w:tcPr>
          <w:p w14:paraId="49EDD4EE"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14 000</w:t>
            </w:r>
          </w:p>
        </w:tc>
        <w:tc>
          <w:tcPr>
            <w:tcW w:w="673" w:type="dxa"/>
            <w:tcBorders>
              <w:top w:val="nil"/>
              <w:left w:val="nil"/>
              <w:bottom w:val="single" w:sz="4" w:space="0" w:color="auto"/>
              <w:right w:val="single" w:sz="4" w:space="0" w:color="auto"/>
            </w:tcBorders>
            <w:shd w:val="clear" w:color="auto" w:fill="auto"/>
            <w:noWrap/>
            <w:vAlign w:val="bottom"/>
            <w:hideMark/>
          </w:tcPr>
          <w:p w14:paraId="440E8AD9"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1,67</w:t>
            </w:r>
          </w:p>
        </w:tc>
        <w:tc>
          <w:tcPr>
            <w:tcW w:w="671" w:type="dxa"/>
            <w:tcBorders>
              <w:top w:val="nil"/>
              <w:left w:val="nil"/>
              <w:bottom w:val="single" w:sz="4" w:space="0" w:color="auto"/>
              <w:right w:val="single" w:sz="4" w:space="0" w:color="auto"/>
            </w:tcBorders>
            <w:shd w:val="clear" w:color="auto" w:fill="auto"/>
            <w:noWrap/>
            <w:vAlign w:val="bottom"/>
            <w:hideMark/>
          </w:tcPr>
          <w:p w14:paraId="7CF17F3E"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0,33</w:t>
            </w:r>
          </w:p>
        </w:tc>
        <w:tc>
          <w:tcPr>
            <w:tcW w:w="673" w:type="dxa"/>
            <w:tcBorders>
              <w:top w:val="nil"/>
              <w:left w:val="nil"/>
              <w:bottom w:val="single" w:sz="4" w:space="0" w:color="auto"/>
              <w:right w:val="single" w:sz="4" w:space="0" w:color="auto"/>
            </w:tcBorders>
            <w:shd w:val="clear" w:color="auto" w:fill="auto"/>
            <w:noWrap/>
            <w:vAlign w:val="bottom"/>
            <w:hideMark/>
          </w:tcPr>
          <w:p w14:paraId="57AB7A9D"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653</w:t>
            </w:r>
          </w:p>
        </w:tc>
        <w:tc>
          <w:tcPr>
            <w:tcW w:w="671" w:type="dxa"/>
            <w:tcBorders>
              <w:top w:val="nil"/>
              <w:left w:val="nil"/>
              <w:bottom w:val="single" w:sz="4" w:space="0" w:color="auto"/>
              <w:right w:val="single" w:sz="4" w:space="0" w:color="auto"/>
            </w:tcBorders>
            <w:shd w:val="clear" w:color="auto" w:fill="auto"/>
            <w:noWrap/>
            <w:vAlign w:val="bottom"/>
            <w:hideMark/>
          </w:tcPr>
          <w:p w14:paraId="688BB412"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366</w:t>
            </w:r>
          </w:p>
        </w:tc>
        <w:tc>
          <w:tcPr>
            <w:tcW w:w="673" w:type="dxa"/>
            <w:tcBorders>
              <w:top w:val="nil"/>
              <w:left w:val="nil"/>
              <w:bottom w:val="single" w:sz="4" w:space="0" w:color="auto"/>
              <w:right w:val="single" w:sz="4" w:space="0" w:color="auto"/>
            </w:tcBorders>
            <w:shd w:val="clear" w:color="auto" w:fill="auto"/>
            <w:noWrap/>
            <w:vAlign w:val="bottom"/>
            <w:hideMark/>
          </w:tcPr>
          <w:p w14:paraId="52880AFA"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670</w:t>
            </w:r>
          </w:p>
        </w:tc>
        <w:tc>
          <w:tcPr>
            <w:tcW w:w="671" w:type="dxa"/>
            <w:tcBorders>
              <w:top w:val="nil"/>
              <w:left w:val="nil"/>
              <w:bottom w:val="single" w:sz="4" w:space="0" w:color="auto"/>
              <w:right w:val="single" w:sz="4" w:space="0" w:color="auto"/>
            </w:tcBorders>
            <w:shd w:val="clear" w:color="auto" w:fill="auto"/>
            <w:noWrap/>
            <w:vAlign w:val="bottom"/>
            <w:hideMark/>
          </w:tcPr>
          <w:p w14:paraId="4819FD00"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509</w:t>
            </w:r>
          </w:p>
        </w:tc>
        <w:tc>
          <w:tcPr>
            <w:tcW w:w="673" w:type="dxa"/>
            <w:tcBorders>
              <w:top w:val="nil"/>
              <w:left w:val="nil"/>
              <w:bottom w:val="single" w:sz="4" w:space="0" w:color="auto"/>
              <w:right w:val="single" w:sz="4" w:space="0" w:color="auto"/>
            </w:tcBorders>
            <w:shd w:val="clear" w:color="auto" w:fill="auto"/>
            <w:noWrap/>
            <w:vAlign w:val="center"/>
            <w:hideMark/>
          </w:tcPr>
          <w:p w14:paraId="280BBD39"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44</w:t>
            </w:r>
          </w:p>
        </w:tc>
        <w:tc>
          <w:tcPr>
            <w:tcW w:w="671" w:type="dxa"/>
            <w:tcBorders>
              <w:top w:val="nil"/>
              <w:left w:val="nil"/>
              <w:bottom w:val="single" w:sz="4" w:space="0" w:color="auto"/>
              <w:right w:val="single" w:sz="4" w:space="0" w:color="auto"/>
            </w:tcBorders>
            <w:shd w:val="clear" w:color="auto" w:fill="auto"/>
            <w:noWrap/>
            <w:vAlign w:val="center"/>
            <w:hideMark/>
          </w:tcPr>
          <w:p w14:paraId="6566ED7A"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150</w:t>
            </w:r>
          </w:p>
        </w:tc>
        <w:tc>
          <w:tcPr>
            <w:tcW w:w="671" w:type="dxa"/>
            <w:tcBorders>
              <w:top w:val="nil"/>
              <w:left w:val="nil"/>
              <w:bottom w:val="single" w:sz="4" w:space="0" w:color="auto"/>
              <w:right w:val="single" w:sz="4" w:space="0" w:color="auto"/>
            </w:tcBorders>
            <w:shd w:val="clear" w:color="auto" w:fill="auto"/>
            <w:noWrap/>
            <w:vAlign w:val="center"/>
            <w:hideMark/>
          </w:tcPr>
          <w:p w14:paraId="38B13CE2"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259</w:t>
            </w:r>
          </w:p>
        </w:tc>
        <w:tc>
          <w:tcPr>
            <w:tcW w:w="673" w:type="dxa"/>
            <w:tcBorders>
              <w:top w:val="nil"/>
              <w:left w:val="nil"/>
              <w:bottom w:val="single" w:sz="4" w:space="0" w:color="auto"/>
              <w:right w:val="single" w:sz="4" w:space="0" w:color="auto"/>
            </w:tcBorders>
            <w:shd w:val="clear" w:color="auto" w:fill="auto"/>
            <w:noWrap/>
            <w:vAlign w:val="center"/>
            <w:hideMark/>
          </w:tcPr>
          <w:p w14:paraId="02798299"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223</w:t>
            </w:r>
          </w:p>
        </w:tc>
        <w:tc>
          <w:tcPr>
            <w:tcW w:w="671" w:type="dxa"/>
            <w:tcBorders>
              <w:top w:val="nil"/>
              <w:left w:val="nil"/>
              <w:bottom w:val="single" w:sz="4" w:space="0" w:color="auto"/>
              <w:right w:val="single" w:sz="4" w:space="0" w:color="auto"/>
            </w:tcBorders>
            <w:shd w:val="clear" w:color="auto" w:fill="auto"/>
            <w:noWrap/>
            <w:vAlign w:val="center"/>
            <w:hideMark/>
          </w:tcPr>
          <w:p w14:paraId="0A93C88E"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527</w:t>
            </w:r>
          </w:p>
        </w:tc>
        <w:tc>
          <w:tcPr>
            <w:tcW w:w="673" w:type="dxa"/>
            <w:tcBorders>
              <w:top w:val="nil"/>
              <w:left w:val="nil"/>
              <w:bottom w:val="single" w:sz="4" w:space="0" w:color="auto"/>
              <w:right w:val="single" w:sz="4" w:space="0" w:color="auto"/>
            </w:tcBorders>
            <w:shd w:val="clear" w:color="auto" w:fill="auto"/>
            <w:noWrap/>
            <w:vAlign w:val="bottom"/>
            <w:hideMark/>
          </w:tcPr>
          <w:p w14:paraId="6281A011"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320</w:t>
            </w:r>
          </w:p>
        </w:tc>
        <w:tc>
          <w:tcPr>
            <w:tcW w:w="671" w:type="dxa"/>
            <w:tcBorders>
              <w:top w:val="nil"/>
              <w:left w:val="nil"/>
              <w:bottom w:val="single" w:sz="4" w:space="0" w:color="auto"/>
              <w:right w:val="single" w:sz="4" w:space="0" w:color="auto"/>
            </w:tcBorders>
            <w:shd w:val="clear" w:color="auto" w:fill="auto"/>
            <w:noWrap/>
            <w:vAlign w:val="bottom"/>
            <w:hideMark/>
          </w:tcPr>
          <w:p w14:paraId="21E68AA7"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146</w:t>
            </w:r>
          </w:p>
        </w:tc>
        <w:tc>
          <w:tcPr>
            <w:tcW w:w="673" w:type="dxa"/>
            <w:tcBorders>
              <w:top w:val="nil"/>
              <w:left w:val="nil"/>
              <w:bottom w:val="single" w:sz="4" w:space="0" w:color="auto"/>
              <w:right w:val="single" w:sz="4" w:space="0" w:color="auto"/>
            </w:tcBorders>
            <w:shd w:val="clear" w:color="auto" w:fill="auto"/>
            <w:noWrap/>
            <w:vAlign w:val="bottom"/>
            <w:hideMark/>
          </w:tcPr>
          <w:p w14:paraId="2461F519"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165</w:t>
            </w:r>
          </w:p>
        </w:tc>
        <w:tc>
          <w:tcPr>
            <w:tcW w:w="671" w:type="dxa"/>
            <w:tcBorders>
              <w:top w:val="nil"/>
              <w:left w:val="nil"/>
              <w:bottom w:val="single" w:sz="4" w:space="0" w:color="auto"/>
              <w:right w:val="single" w:sz="4" w:space="0" w:color="auto"/>
            </w:tcBorders>
            <w:shd w:val="clear" w:color="auto" w:fill="auto"/>
            <w:noWrap/>
            <w:vAlign w:val="bottom"/>
            <w:hideMark/>
          </w:tcPr>
          <w:p w14:paraId="5D047E0C"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8</w:t>
            </w:r>
          </w:p>
        </w:tc>
        <w:tc>
          <w:tcPr>
            <w:tcW w:w="673" w:type="dxa"/>
            <w:tcBorders>
              <w:top w:val="nil"/>
              <w:left w:val="nil"/>
              <w:bottom w:val="single" w:sz="4" w:space="0" w:color="auto"/>
              <w:right w:val="single" w:sz="4" w:space="0" w:color="auto"/>
            </w:tcBorders>
            <w:shd w:val="clear" w:color="auto" w:fill="auto"/>
            <w:noWrap/>
            <w:vAlign w:val="bottom"/>
            <w:hideMark/>
          </w:tcPr>
          <w:p w14:paraId="10647485"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778</w:t>
            </w:r>
          </w:p>
        </w:tc>
        <w:tc>
          <w:tcPr>
            <w:tcW w:w="671" w:type="dxa"/>
            <w:tcBorders>
              <w:top w:val="nil"/>
              <w:left w:val="nil"/>
              <w:bottom w:val="single" w:sz="4" w:space="0" w:color="auto"/>
              <w:right w:val="single" w:sz="4" w:space="0" w:color="auto"/>
            </w:tcBorders>
            <w:shd w:val="clear" w:color="auto" w:fill="auto"/>
            <w:noWrap/>
            <w:vAlign w:val="bottom"/>
            <w:hideMark/>
          </w:tcPr>
          <w:p w14:paraId="78D6C3D7"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4 109</w:t>
            </w:r>
          </w:p>
        </w:tc>
        <w:tc>
          <w:tcPr>
            <w:tcW w:w="673" w:type="dxa"/>
            <w:tcBorders>
              <w:top w:val="nil"/>
              <w:left w:val="nil"/>
              <w:bottom w:val="single" w:sz="4" w:space="0" w:color="auto"/>
              <w:right w:val="single" w:sz="4" w:space="0" w:color="auto"/>
            </w:tcBorders>
            <w:shd w:val="clear" w:color="auto" w:fill="auto"/>
            <w:noWrap/>
            <w:vAlign w:val="bottom"/>
            <w:hideMark/>
          </w:tcPr>
          <w:p w14:paraId="622411C7"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17 399</w:t>
            </w:r>
          </w:p>
        </w:tc>
      </w:tr>
      <w:tr w:rsidR="00DB1F4D" w:rsidRPr="005053C3" w14:paraId="6F7DD10D" w14:textId="77777777" w:rsidTr="195A9735">
        <w:trPr>
          <w:trHeight w:val="131"/>
        </w:trPr>
        <w:tc>
          <w:tcPr>
            <w:tcW w:w="988" w:type="dxa"/>
            <w:tcBorders>
              <w:top w:val="nil"/>
              <w:left w:val="single" w:sz="4" w:space="0" w:color="auto"/>
              <w:bottom w:val="single" w:sz="4" w:space="0" w:color="auto"/>
              <w:right w:val="single" w:sz="4" w:space="0" w:color="auto"/>
            </w:tcBorders>
            <w:shd w:val="clear" w:color="auto" w:fill="auto"/>
            <w:hideMark/>
          </w:tcPr>
          <w:p w14:paraId="31768B4B"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Provider 9</w:t>
            </w:r>
          </w:p>
        </w:tc>
        <w:tc>
          <w:tcPr>
            <w:tcW w:w="622" w:type="dxa"/>
            <w:tcBorders>
              <w:top w:val="nil"/>
              <w:left w:val="nil"/>
              <w:bottom w:val="single" w:sz="4" w:space="0" w:color="auto"/>
              <w:right w:val="single" w:sz="4" w:space="0" w:color="auto"/>
            </w:tcBorders>
            <w:shd w:val="clear" w:color="auto" w:fill="auto"/>
            <w:noWrap/>
            <w:hideMark/>
          </w:tcPr>
          <w:p w14:paraId="2BCA96D6"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Tskaltubo</w:t>
            </w:r>
          </w:p>
        </w:tc>
        <w:tc>
          <w:tcPr>
            <w:tcW w:w="798" w:type="dxa"/>
            <w:tcBorders>
              <w:top w:val="nil"/>
              <w:left w:val="nil"/>
              <w:bottom w:val="single" w:sz="4" w:space="0" w:color="auto"/>
              <w:right w:val="single" w:sz="4" w:space="0" w:color="auto"/>
            </w:tcBorders>
            <w:shd w:val="clear" w:color="auto" w:fill="auto"/>
            <w:noWrap/>
            <w:hideMark/>
          </w:tcPr>
          <w:p w14:paraId="16095A60"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Village</w:t>
            </w:r>
          </w:p>
        </w:tc>
        <w:tc>
          <w:tcPr>
            <w:tcW w:w="671" w:type="dxa"/>
            <w:tcBorders>
              <w:top w:val="nil"/>
              <w:left w:val="nil"/>
              <w:bottom w:val="single" w:sz="4" w:space="0" w:color="auto"/>
              <w:right w:val="single" w:sz="4" w:space="0" w:color="auto"/>
            </w:tcBorders>
            <w:shd w:val="clear" w:color="auto" w:fill="auto"/>
            <w:noWrap/>
            <w:hideMark/>
          </w:tcPr>
          <w:p w14:paraId="7FDCC50D"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2 200</w:t>
            </w:r>
          </w:p>
        </w:tc>
        <w:tc>
          <w:tcPr>
            <w:tcW w:w="671" w:type="dxa"/>
            <w:tcBorders>
              <w:top w:val="nil"/>
              <w:left w:val="nil"/>
              <w:bottom w:val="single" w:sz="4" w:space="0" w:color="auto"/>
              <w:right w:val="single" w:sz="4" w:space="0" w:color="auto"/>
            </w:tcBorders>
            <w:shd w:val="clear" w:color="auto" w:fill="auto"/>
            <w:noWrap/>
            <w:vAlign w:val="bottom"/>
            <w:hideMark/>
          </w:tcPr>
          <w:p w14:paraId="53807C0E"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03241A81"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0,51</w:t>
            </w:r>
          </w:p>
        </w:tc>
        <w:tc>
          <w:tcPr>
            <w:tcW w:w="671" w:type="dxa"/>
            <w:tcBorders>
              <w:top w:val="nil"/>
              <w:left w:val="nil"/>
              <w:bottom w:val="single" w:sz="4" w:space="0" w:color="auto"/>
              <w:right w:val="single" w:sz="4" w:space="0" w:color="auto"/>
            </w:tcBorders>
            <w:shd w:val="clear" w:color="auto" w:fill="auto"/>
            <w:noWrap/>
            <w:vAlign w:val="bottom"/>
            <w:hideMark/>
          </w:tcPr>
          <w:p w14:paraId="1B196C2E"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0,00</w:t>
            </w:r>
          </w:p>
        </w:tc>
        <w:tc>
          <w:tcPr>
            <w:tcW w:w="673" w:type="dxa"/>
            <w:tcBorders>
              <w:top w:val="nil"/>
              <w:left w:val="nil"/>
              <w:bottom w:val="single" w:sz="4" w:space="0" w:color="auto"/>
              <w:right w:val="single" w:sz="4" w:space="0" w:color="auto"/>
            </w:tcBorders>
            <w:shd w:val="clear" w:color="auto" w:fill="auto"/>
            <w:noWrap/>
            <w:vAlign w:val="bottom"/>
            <w:hideMark/>
          </w:tcPr>
          <w:p w14:paraId="3957E5B9"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650</w:t>
            </w:r>
          </w:p>
        </w:tc>
        <w:tc>
          <w:tcPr>
            <w:tcW w:w="671" w:type="dxa"/>
            <w:tcBorders>
              <w:top w:val="nil"/>
              <w:left w:val="nil"/>
              <w:bottom w:val="single" w:sz="4" w:space="0" w:color="auto"/>
              <w:right w:val="single" w:sz="4" w:space="0" w:color="auto"/>
            </w:tcBorders>
            <w:shd w:val="clear" w:color="auto" w:fill="auto"/>
            <w:noWrap/>
            <w:vAlign w:val="bottom"/>
            <w:hideMark/>
          </w:tcPr>
          <w:p w14:paraId="7C14BFD9"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455</w:t>
            </w:r>
          </w:p>
        </w:tc>
        <w:tc>
          <w:tcPr>
            <w:tcW w:w="673" w:type="dxa"/>
            <w:tcBorders>
              <w:top w:val="nil"/>
              <w:left w:val="nil"/>
              <w:bottom w:val="single" w:sz="4" w:space="0" w:color="auto"/>
              <w:right w:val="single" w:sz="4" w:space="0" w:color="auto"/>
            </w:tcBorders>
            <w:shd w:val="clear" w:color="auto" w:fill="auto"/>
            <w:noWrap/>
            <w:vAlign w:val="bottom"/>
            <w:hideMark/>
          </w:tcPr>
          <w:p w14:paraId="4310D946"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786C2C91"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center"/>
            <w:hideMark/>
          </w:tcPr>
          <w:p w14:paraId="68F6A438"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center"/>
            <w:hideMark/>
          </w:tcPr>
          <w:p w14:paraId="5906E7C3"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center"/>
            <w:hideMark/>
          </w:tcPr>
          <w:p w14:paraId="78F6017F"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center"/>
            <w:hideMark/>
          </w:tcPr>
          <w:p w14:paraId="10A4674A" w14:textId="77777777" w:rsidR="00DB1F4D" w:rsidRPr="005053C3" w:rsidRDefault="00DB1F4D" w:rsidP="002E590D">
            <w:pPr>
              <w:spacing w:after="0" w:line="240" w:lineRule="auto"/>
              <w:jc w:val="center"/>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0E1B48FE"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47CBFA36"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774ABD75"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09533B87"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591F4DA2"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20F22468"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046B7A7C"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2A468C37"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r>
      <w:tr w:rsidR="00DB1F4D" w:rsidRPr="005053C3" w14:paraId="5DC8CE60" w14:textId="77777777" w:rsidTr="195A9735">
        <w:trPr>
          <w:trHeight w:val="131"/>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48C9CCF8"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22" w:type="dxa"/>
            <w:tcBorders>
              <w:top w:val="nil"/>
              <w:left w:val="nil"/>
              <w:bottom w:val="single" w:sz="4" w:space="0" w:color="auto"/>
              <w:right w:val="single" w:sz="4" w:space="0" w:color="auto"/>
            </w:tcBorders>
            <w:shd w:val="clear" w:color="auto" w:fill="auto"/>
            <w:noWrap/>
            <w:vAlign w:val="bottom"/>
            <w:hideMark/>
          </w:tcPr>
          <w:p w14:paraId="00C919A5"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798" w:type="dxa"/>
            <w:tcBorders>
              <w:top w:val="nil"/>
              <w:left w:val="nil"/>
              <w:bottom w:val="single" w:sz="4" w:space="0" w:color="auto"/>
              <w:right w:val="single" w:sz="4" w:space="0" w:color="auto"/>
            </w:tcBorders>
            <w:shd w:val="clear" w:color="auto" w:fill="auto"/>
            <w:noWrap/>
            <w:vAlign w:val="bottom"/>
            <w:hideMark/>
          </w:tcPr>
          <w:p w14:paraId="3DE9705C"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3F8853B6"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6C004DB3"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62B1AB09"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54FB5E65"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4A6138A2"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0EC686EE"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71331766"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50159412"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66DE65A8"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7CEEC62E"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6F35BEFB"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7BEC8F27"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3D3CC1A1"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5EDD1E12"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63D7778C"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5C121BFC"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3DC8827D"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5042DD7C" w14:textId="77777777" w:rsidR="00DB1F4D" w:rsidRPr="005053C3" w:rsidRDefault="00DB1F4D" w:rsidP="002E590D">
            <w:pPr>
              <w:spacing w:after="0" w:line="240" w:lineRule="auto"/>
              <w:rPr>
                <w:rFonts w:asciiTheme="majorHAnsi" w:eastAsia="Times New Roman" w:hAnsiTheme="majorHAnsi" w:cstheme="majorHAnsi"/>
                <w:b/>
                <w:bCs/>
                <w:sz w:val="16"/>
                <w:szCs w:val="16"/>
                <w:lang w:val="en-GB" w:eastAsia="et-EE"/>
              </w:rPr>
            </w:pPr>
            <w:r w:rsidRPr="005053C3">
              <w:rPr>
                <w:rFonts w:asciiTheme="majorHAnsi" w:eastAsia="Times New Roman" w:hAnsiTheme="majorHAnsi" w:cstheme="majorHAnsi"/>
                <w:b/>
                <w:bCs/>
                <w:sz w:val="16"/>
                <w:szCs w:val="16"/>
                <w:lang w:val="en-GB" w:eastAsia="et-EE"/>
              </w:rPr>
              <w:t>per patient</w:t>
            </w:r>
          </w:p>
        </w:tc>
        <w:tc>
          <w:tcPr>
            <w:tcW w:w="671" w:type="dxa"/>
            <w:tcBorders>
              <w:top w:val="nil"/>
              <w:left w:val="nil"/>
              <w:bottom w:val="single" w:sz="4" w:space="0" w:color="auto"/>
              <w:right w:val="single" w:sz="4" w:space="0" w:color="auto"/>
            </w:tcBorders>
            <w:shd w:val="clear" w:color="auto" w:fill="auto"/>
            <w:noWrap/>
            <w:vAlign w:val="bottom"/>
            <w:hideMark/>
          </w:tcPr>
          <w:p w14:paraId="3037C35A" w14:textId="77777777" w:rsidR="00DB1F4D" w:rsidRPr="005053C3" w:rsidRDefault="00DB1F4D" w:rsidP="002E590D">
            <w:pPr>
              <w:spacing w:after="0" w:line="240" w:lineRule="auto"/>
              <w:jc w:val="right"/>
              <w:rPr>
                <w:rFonts w:asciiTheme="majorHAnsi" w:eastAsia="Times New Roman" w:hAnsiTheme="majorHAnsi" w:cstheme="majorHAnsi"/>
                <w:b/>
                <w:bCs/>
                <w:sz w:val="16"/>
                <w:szCs w:val="16"/>
                <w:lang w:val="en-GB" w:eastAsia="et-EE"/>
              </w:rPr>
            </w:pPr>
            <w:r w:rsidRPr="005053C3">
              <w:rPr>
                <w:rFonts w:asciiTheme="majorHAnsi" w:eastAsia="Times New Roman" w:hAnsiTheme="majorHAnsi" w:cstheme="majorHAnsi"/>
                <w:b/>
                <w:bCs/>
                <w:sz w:val="16"/>
                <w:szCs w:val="16"/>
                <w:lang w:val="en-GB" w:eastAsia="et-EE"/>
              </w:rPr>
              <w:t>1,93</w:t>
            </w:r>
          </w:p>
        </w:tc>
        <w:tc>
          <w:tcPr>
            <w:tcW w:w="673" w:type="dxa"/>
            <w:tcBorders>
              <w:top w:val="nil"/>
              <w:left w:val="nil"/>
              <w:bottom w:val="single" w:sz="4" w:space="0" w:color="auto"/>
              <w:right w:val="single" w:sz="4" w:space="0" w:color="auto"/>
            </w:tcBorders>
            <w:shd w:val="clear" w:color="auto" w:fill="auto"/>
            <w:noWrap/>
            <w:vAlign w:val="bottom"/>
            <w:hideMark/>
          </w:tcPr>
          <w:p w14:paraId="664E1D59" w14:textId="77777777" w:rsidR="00DB1F4D" w:rsidRPr="005053C3" w:rsidRDefault="00DB1F4D" w:rsidP="002E590D">
            <w:pPr>
              <w:spacing w:after="0" w:line="240" w:lineRule="auto"/>
              <w:jc w:val="right"/>
              <w:rPr>
                <w:rFonts w:asciiTheme="majorHAnsi" w:eastAsia="Times New Roman" w:hAnsiTheme="majorHAnsi" w:cstheme="majorHAnsi"/>
                <w:b/>
                <w:bCs/>
                <w:sz w:val="16"/>
                <w:szCs w:val="16"/>
                <w:lang w:val="en-GB" w:eastAsia="et-EE"/>
              </w:rPr>
            </w:pPr>
            <w:r w:rsidRPr="005053C3">
              <w:rPr>
                <w:rFonts w:asciiTheme="majorHAnsi" w:eastAsia="Times New Roman" w:hAnsiTheme="majorHAnsi" w:cstheme="majorHAnsi"/>
                <w:b/>
                <w:bCs/>
                <w:sz w:val="16"/>
                <w:szCs w:val="16"/>
                <w:lang w:val="en-GB" w:eastAsia="et-EE"/>
              </w:rPr>
              <w:t>4,04</w:t>
            </w:r>
          </w:p>
        </w:tc>
      </w:tr>
      <w:tr w:rsidR="00DB1F4D" w:rsidRPr="005053C3" w14:paraId="3D18BD75" w14:textId="77777777" w:rsidTr="195A9735">
        <w:trPr>
          <w:trHeight w:val="657"/>
        </w:trPr>
        <w:tc>
          <w:tcPr>
            <w:tcW w:w="988" w:type="dxa"/>
            <w:tcBorders>
              <w:top w:val="nil"/>
              <w:left w:val="single" w:sz="4" w:space="0" w:color="auto"/>
              <w:bottom w:val="single" w:sz="4" w:space="0" w:color="auto"/>
              <w:right w:val="single" w:sz="4" w:space="0" w:color="auto"/>
            </w:tcBorders>
            <w:shd w:val="clear" w:color="auto" w:fill="auto"/>
            <w:noWrap/>
            <w:vAlign w:val="bottom"/>
            <w:hideMark/>
          </w:tcPr>
          <w:p w14:paraId="7BA21A0E"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22" w:type="dxa"/>
            <w:tcBorders>
              <w:top w:val="nil"/>
              <w:left w:val="nil"/>
              <w:bottom w:val="single" w:sz="4" w:space="0" w:color="auto"/>
              <w:right w:val="single" w:sz="4" w:space="0" w:color="auto"/>
            </w:tcBorders>
            <w:shd w:val="clear" w:color="auto" w:fill="auto"/>
            <w:noWrap/>
            <w:vAlign w:val="bottom"/>
            <w:hideMark/>
          </w:tcPr>
          <w:p w14:paraId="14CE7B7B"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798" w:type="dxa"/>
            <w:tcBorders>
              <w:top w:val="nil"/>
              <w:left w:val="nil"/>
              <w:bottom w:val="single" w:sz="4" w:space="0" w:color="auto"/>
              <w:right w:val="single" w:sz="4" w:space="0" w:color="auto"/>
            </w:tcBorders>
            <w:shd w:val="clear" w:color="auto" w:fill="auto"/>
            <w:noWrap/>
            <w:vAlign w:val="bottom"/>
            <w:hideMark/>
          </w:tcPr>
          <w:p w14:paraId="5063E2D7"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2302450C"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291FA943"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3EAD4941"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18E01B42"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688261E1"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6CF1E9B3"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179F66A0"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5930BF7F"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3E2F4DE5"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37CC0D1A"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2A1F8027"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15842C9D"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0AB051B7"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293B8251"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6B03370A"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3" w:type="dxa"/>
            <w:tcBorders>
              <w:top w:val="nil"/>
              <w:left w:val="nil"/>
              <w:bottom w:val="single" w:sz="4" w:space="0" w:color="auto"/>
              <w:right w:val="single" w:sz="4" w:space="0" w:color="auto"/>
            </w:tcBorders>
            <w:shd w:val="clear" w:color="auto" w:fill="auto"/>
            <w:noWrap/>
            <w:vAlign w:val="bottom"/>
            <w:hideMark/>
          </w:tcPr>
          <w:p w14:paraId="75635DC3"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1" w:type="dxa"/>
            <w:tcBorders>
              <w:top w:val="nil"/>
              <w:left w:val="nil"/>
              <w:bottom w:val="single" w:sz="4" w:space="0" w:color="auto"/>
              <w:right w:val="single" w:sz="4" w:space="0" w:color="auto"/>
            </w:tcBorders>
            <w:shd w:val="clear" w:color="auto" w:fill="auto"/>
            <w:noWrap/>
            <w:vAlign w:val="bottom"/>
            <w:hideMark/>
          </w:tcPr>
          <w:p w14:paraId="0010E7AC"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 </w:t>
            </w:r>
          </w:p>
        </w:tc>
        <w:tc>
          <w:tcPr>
            <w:tcW w:w="673" w:type="dxa"/>
            <w:tcBorders>
              <w:top w:val="nil"/>
              <w:left w:val="nil"/>
              <w:bottom w:val="single" w:sz="4" w:space="0" w:color="auto"/>
              <w:right w:val="single" w:sz="4" w:space="0" w:color="auto"/>
            </w:tcBorders>
            <w:shd w:val="clear" w:color="auto" w:fill="auto"/>
            <w:vAlign w:val="bottom"/>
            <w:hideMark/>
          </w:tcPr>
          <w:p w14:paraId="23945F45" w14:textId="77777777" w:rsidR="00DB1F4D" w:rsidRPr="005053C3" w:rsidRDefault="00DB1F4D" w:rsidP="002E590D">
            <w:pPr>
              <w:spacing w:after="0" w:line="240" w:lineRule="auto"/>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per patient (without rural patients)</w:t>
            </w:r>
          </w:p>
        </w:tc>
        <w:tc>
          <w:tcPr>
            <w:tcW w:w="671" w:type="dxa"/>
            <w:tcBorders>
              <w:top w:val="nil"/>
              <w:left w:val="nil"/>
              <w:bottom w:val="single" w:sz="4" w:space="0" w:color="auto"/>
              <w:right w:val="single" w:sz="4" w:space="0" w:color="auto"/>
            </w:tcBorders>
            <w:shd w:val="clear" w:color="auto" w:fill="auto"/>
            <w:noWrap/>
            <w:vAlign w:val="bottom"/>
            <w:hideMark/>
          </w:tcPr>
          <w:p w14:paraId="0E178CDF"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2,30</w:t>
            </w:r>
          </w:p>
        </w:tc>
        <w:tc>
          <w:tcPr>
            <w:tcW w:w="673" w:type="dxa"/>
            <w:tcBorders>
              <w:top w:val="nil"/>
              <w:left w:val="nil"/>
              <w:bottom w:val="single" w:sz="4" w:space="0" w:color="auto"/>
              <w:right w:val="single" w:sz="4" w:space="0" w:color="auto"/>
            </w:tcBorders>
            <w:shd w:val="clear" w:color="auto" w:fill="auto"/>
            <w:noWrap/>
            <w:vAlign w:val="bottom"/>
            <w:hideMark/>
          </w:tcPr>
          <w:p w14:paraId="38840DF8" w14:textId="77777777" w:rsidR="00DB1F4D" w:rsidRPr="005053C3" w:rsidRDefault="00DB1F4D" w:rsidP="002E590D">
            <w:pPr>
              <w:spacing w:after="0" w:line="240" w:lineRule="auto"/>
              <w:jc w:val="right"/>
              <w:rPr>
                <w:rFonts w:asciiTheme="majorHAnsi" w:eastAsia="Times New Roman" w:hAnsiTheme="majorHAnsi" w:cstheme="majorHAnsi"/>
                <w:sz w:val="16"/>
                <w:szCs w:val="16"/>
                <w:lang w:val="en-GB" w:eastAsia="et-EE"/>
              </w:rPr>
            </w:pPr>
            <w:r w:rsidRPr="005053C3">
              <w:rPr>
                <w:rFonts w:asciiTheme="majorHAnsi" w:eastAsia="Times New Roman" w:hAnsiTheme="majorHAnsi" w:cstheme="majorHAnsi"/>
                <w:sz w:val="16"/>
                <w:szCs w:val="16"/>
                <w:lang w:val="en-GB" w:eastAsia="et-EE"/>
              </w:rPr>
              <w:t>4,83</w:t>
            </w:r>
          </w:p>
        </w:tc>
      </w:tr>
    </w:tbl>
    <w:p w14:paraId="4CF3269C" w14:textId="77777777" w:rsidR="00DB1F4D" w:rsidRPr="005053C3" w:rsidRDefault="00DB1F4D" w:rsidP="002E590D">
      <w:pPr>
        <w:spacing w:after="0" w:line="240" w:lineRule="auto"/>
        <w:rPr>
          <w:lang w:val="en-GB"/>
        </w:rPr>
      </w:pPr>
    </w:p>
    <w:p w14:paraId="155E93DD" w14:textId="1C17E157" w:rsidR="7455FEDB" w:rsidRPr="005053C3" w:rsidRDefault="7455FEDB" w:rsidP="002E590D">
      <w:pPr>
        <w:spacing w:after="0" w:line="240" w:lineRule="auto"/>
        <w:jc w:val="both"/>
        <w:rPr>
          <w:lang w:val="en-GB"/>
        </w:rPr>
      </w:pPr>
    </w:p>
    <w:p w14:paraId="58D473A9" w14:textId="3FF00408" w:rsidR="00FD4916" w:rsidRPr="005053C3" w:rsidRDefault="00FD4916" w:rsidP="002E590D">
      <w:pPr>
        <w:spacing w:after="0" w:line="240" w:lineRule="auto"/>
        <w:jc w:val="both"/>
        <w:rPr>
          <w:lang w:val="en-GB"/>
        </w:rPr>
      </w:pPr>
    </w:p>
    <w:sectPr w:rsidR="00FD4916" w:rsidRPr="005053C3" w:rsidSect="00DB1F4D">
      <w:headerReference w:type="default" r:id="rId22"/>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18685" w14:textId="77777777" w:rsidR="008C44F9" w:rsidRDefault="008C44F9" w:rsidP="00435CBE">
      <w:pPr>
        <w:spacing w:after="0" w:line="240" w:lineRule="auto"/>
      </w:pPr>
      <w:r>
        <w:separator/>
      </w:r>
    </w:p>
  </w:endnote>
  <w:endnote w:type="continuationSeparator" w:id="0">
    <w:p w14:paraId="3B07C0C5" w14:textId="77777777" w:rsidR="008C44F9" w:rsidRDefault="008C44F9" w:rsidP="00435CBE">
      <w:pPr>
        <w:spacing w:after="0" w:line="240" w:lineRule="auto"/>
      </w:pPr>
      <w:r>
        <w:continuationSeparator/>
      </w:r>
    </w:p>
  </w:endnote>
  <w:endnote w:type="continuationNotice" w:id="1">
    <w:p w14:paraId="15624B1A" w14:textId="77777777" w:rsidR="008C44F9" w:rsidRDefault="008C44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1924447"/>
      <w:docPartObj>
        <w:docPartGallery w:val="Page Numbers (Bottom of Page)"/>
        <w:docPartUnique/>
      </w:docPartObj>
    </w:sdtPr>
    <w:sdtEndPr/>
    <w:sdtContent>
      <w:p w14:paraId="2CF23181" w14:textId="3B001EFB" w:rsidR="00DE2FBD" w:rsidRDefault="00DE2FBD">
        <w:pPr>
          <w:pStyle w:val="Footer"/>
          <w:jc w:val="center"/>
        </w:pPr>
        <w:r>
          <w:fldChar w:fldCharType="begin"/>
        </w:r>
        <w:r>
          <w:instrText>PAGE   \* MERGEFORMAT</w:instrText>
        </w:r>
        <w:r>
          <w:fldChar w:fldCharType="separate"/>
        </w:r>
        <w:r w:rsidR="00AC3ED7">
          <w:rPr>
            <w:noProof/>
          </w:rPr>
          <w:t>1</w:t>
        </w:r>
        <w:r>
          <w:fldChar w:fldCharType="end"/>
        </w:r>
      </w:p>
    </w:sdtContent>
  </w:sdt>
  <w:p w14:paraId="04991499" w14:textId="77777777" w:rsidR="00DE2FBD" w:rsidRDefault="00DE2F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9A99C" w14:textId="77777777" w:rsidR="008C44F9" w:rsidRDefault="008C44F9" w:rsidP="00435CBE">
      <w:pPr>
        <w:spacing w:after="0" w:line="240" w:lineRule="auto"/>
      </w:pPr>
      <w:r>
        <w:separator/>
      </w:r>
    </w:p>
  </w:footnote>
  <w:footnote w:type="continuationSeparator" w:id="0">
    <w:p w14:paraId="327ECB87" w14:textId="77777777" w:rsidR="008C44F9" w:rsidRDefault="008C44F9" w:rsidP="00435CBE">
      <w:pPr>
        <w:spacing w:after="0" w:line="240" w:lineRule="auto"/>
      </w:pPr>
      <w:r>
        <w:continuationSeparator/>
      </w:r>
    </w:p>
  </w:footnote>
  <w:footnote w:type="continuationNotice" w:id="1">
    <w:p w14:paraId="1601B1FE" w14:textId="77777777" w:rsidR="008C44F9" w:rsidRDefault="008C44F9">
      <w:pPr>
        <w:spacing w:after="0" w:line="240" w:lineRule="auto"/>
      </w:pPr>
    </w:p>
  </w:footnote>
  <w:footnote w:id="2">
    <w:p w14:paraId="3481197C" w14:textId="7750238E" w:rsidR="00DE2FBD" w:rsidRPr="00574314" w:rsidRDefault="00DE2FBD">
      <w:pPr>
        <w:pStyle w:val="FootnoteText"/>
        <w:rPr>
          <w:rFonts w:asciiTheme="minorHAnsi" w:hAnsiTheme="minorHAnsi" w:cstheme="minorHAnsi"/>
          <w:sz w:val="16"/>
          <w:szCs w:val="16"/>
          <w:lang w:val="et-EE"/>
        </w:rPr>
      </w:pPr>
      <w:r w:rsidRPr="00574314">
        <w:rPr>
          <w:rStyle w:val="FootnoteReference"/>
          <w:rFonts w:asciiTheme="minorHAnsi" w:hAnsiTheme="minorHAnsi" w:cstheme="minorHAnsi"/>
          <w:sz w:val="16"/>
          <w:szCs w:val="16"/>
        </w:rPr>
        <w:footnoteRef/>
      </w:r>
      <w:r w:rsidRPr="00574314">
        <w:rPr>
          <w:rFonts w:asciiTheme="minorHAnsi" w:hAnsiTheme="minorHAnsi" w:cstheme="minorHAnsi"/>
          <w:sz w:val="16"/>
          <w:szCs w:val="16"/>
        </w:rPr>
        <w:t xml:space="preserve"> </w:t>
      </w:r>
      <w:r w:rsidR="005F62ED" w:rsidRPr="00574314">
        <w:rPr>
          <w:rFonts w:asciiTheme="minorHAnsi" w:hAnsiTheme="minorHAnsi" w:cstheme="minorHAnsi"/>
          <w:sz w:val="16"/>
          <w:szCs w:val="16"/>
        </w:rPr>
        <w:t>Considering</w:t>
      </w:r>
      <w:r w:rsidRPr="00574314">
        <w:rPr>
          <w:rFonts w:asciiTheme="minorHAnsi" w:hAnsiTheme="minorHAnsi" w:cstheme="minorHAnsi"/>
          <w:sz w:val="16"/>
          <w:szCs w:val="16"/>
        </w:rPr>
        <w:t xml:space="preserve"> the rural patients in the urban providers patient list.</w:t>
      </w:r>
    </w:p>
  </w:footnote>
  <w:footnote w:id="3">
    <w:p w14:paraId="25ECB366" w14:textId="2F62ACA9" w:rsidR="00B3533B" w:rsidRPr="00574314" w:rsidRDefault="00B3533B">
      <w:pPr>
        <w:pStyle w:val="FootnoteText"/>
        <w:rPr>
          <w:rFonts w:asciiTheme="minorHAnsi" w:hAnsiTheme="minorHAnsi" w:cstheme="minorHAnsi"/>
          <w:sz w:val="16"/>
          <w:szCs w:val="16"/>
          <w:lang w:val="et-EE"/>
        </w:rPr>
      </w:pPr>
      <w:r w:rsidRPr="00574314">
        <w:rPr>
          <w:rStyle w:val="FootnoteReference"/>
          <w:rFonts w:asciiTheme="minorHAnsi" w:hAnsiTheme="minorHAnsi" w:cstheme="minorHAnsi"/>
          <w:sz w:val="16"/>
          <w:szCs w:val="16"/>
        </w:rPr>
        <w:footnoteRef/>
      </w:r>
      <w:r w:rsidRPr="00574314">
        <w:rPr>
          <w:rFonts w:asciiTheme="minorHAnsi" w:hAnsiTheme="minorHAnsi" w:cstheme="minorHAnsi"/>
          <w:sz w:val="16"/>
          <w:szCs w:val="16"/>
        </w:rPr>
        <w:t xml:space="preserve"> Estonian and Lebanon PHC costing models</w:t>
      </w:r>
    </w:p>
  </w:footnote>
  <w:footnote w:id="4">
    <w:p w14:paraId="1E0288F6" w14:textId="59556CF2" w:rsidR="008008CF" w:rsidRPr="008008CF" w:rsidRDefault="008008CF" w:rsidP="008008CF">
      <w:pPr>
        <w:pStyle w:val="FootnoteText"/>
        <w:rPr>
          <w:lang w:val="et-EE"/>
        </w:rPr>
      </w:pPr>
      <w:r>
        <w:rPr>
          <w:rStyle w:val="FootnoteReference"/>
        </w:rPr>
        <w:footnoteRef/>
      </w:r>
      <w:r>
        <w:t xml:space="preserve"> </w:t>
      </w:r>
      <w:r w:rsidRPr="008008CF">
        <w:rPr>
          <w:rFonts w:asciiTheme="minorHAnsi" w:hAnsiTheme="minorHAnsi" w:cstheme="minorHAnsi"/>
          <w:sz w:val="16"/>
          <w:szCs w:val="16"/>
        </w:rPr>
        <w:t>Özaltın, A., and C. Cashin, eds. Costing of Health Services for Provider Payment: A Practical Manual Based on Country Costing Challenges, Trade-offs, and Solutions. Joint Learning Network for Universal Health Coverage, 2014.</w:t>
      </w:r>
    </w:p>
  </w:footnote>
  <w:footnote w:id="5">
    <w:p w14:paraId="043B0827" w14:textId="049F533D" w:rsidR="00010527" w:rsidRPr="00010527" w:rsidRDefault="00010527">
      <w:pPr>
        <w:pStyle w:val="FootnoteText"/>
        <w:rPr>
          <w:rFonts w:asciiTheme="minorHAnsi" w:hAnsiTheme="minorHAnsi" w:cstheme="minorHAnsi"/>
          <w:sz w:val="16"/>
          <w:szCs w:val="16"/>
          <w:lang w:val="et-EE"/>
        </w:rPr>
      </w:pPr>
      <w:r w:rsidRPr="00010527">
        <w:rPr>
          <w:rStyle w:val="FootnoteReference"/>
          <w:rFonts w:asciiTheme="minorHAnsi" w:hAnsiTheme="minorHAnsi" w:cstheme="minorHAnsi"/>
          <w:sz w:val="16"/>
          <w:szCs w:val="16"/>
        </w:rPr>
        <w:footnoteRef/>
      </w:r>
      <w:r w:rsidRPr="00010527">
        <w:rPr>
          <w:rFonts w:asciiTheme="minorHAnsi" w:hAnsiTheme="minorHAnsi" w:cstheme="minorHAnsi"/>
          <w:sz w:val="16"/>
          <w:szCs w:val="16"/>
        </w:rPr>
        <w:t xml:space="preserve"> </w:t>
      </w:r>
      <w:r w:rsidRPr="00010527">
        <w:rPr>
          <w:rFonts w:asciiTheme="minorHAnsi" w:hAnsiTheme="minorHAnsi" w:cstheme="minorHAnsi"/>
          <w:i/>
          <w:iCs/>
          <w:sz w:val="16"/>
          <w:szCs w:val="16"/>
          <w:lang w:val="et-EE"/>
        </w:rPr>
        <w:t>Ibid</w:t>
      </w:r>
    </w:p>
  </w:footnote>
  <w:footnote w:id="6">
    <w:p w14:paraId="5F60393F" w14:textId="518428DB" w:rsidR="00010527" w:rsidRPr="00010527" w:rsidRDefault="00010527">
      <w:pPr>
        <w:pStyle w:val="FootnoteText"/>
        <w:rPr>
          <w:lang w:val="et-EE"/>
        </w:rPr>
      </w:pPr>
      <w:r w:rsidRPr="00010527">
        <w:rPr>
          <w:rStyle w:val="FootnoteReference"/>
          <w:rFonts w:asciiTheme="minorHAnsi" w:hAnsiTheme="minorHAnsi" w:cstheme="minorHAnsi"/>
          <w:sz w:val="16"/>
          <w:szCs w:val="16"/>
        </w:rPr>
        <w:footnoteRef/>
      </w:r>
      <w:r w:rsidRPr="00010527">
        <w:rPr>
          <w:rFonts w:asciiTheme="minorHAnsi" w:hAnsiTheme="minorHAnsi" w:cstheme="minorHAnsi"/>
          <w:sz w:val="16"/>
          <w:szCs w:val="16"/>
        </w:rPr>
        <w:t xml:space="preserve"> </w:t>
      </w:r>
      <w:r w:rsidRPr="00010527">
        <w:rPr>
          <w:rFonts w:asciiTheme="minorHAnsi" w:hAnsiTheme="minorHAnsi" w:cstheme="minorHAnsi"/>
          <w:i/>
          <w:iCs/>
          <w:sz w:val="16"/>
          <w:szCs w:val="16"/>
          <w:lang w:val="et-EE"/>
        </w:rPr>
        <w:t>Ibid</w:t>
      </w:r>
    </w:p>
  </w:footnote>
  <w:footnote w:id="7">
    <w:p w14:paraId="68DADD35" w14:textId="532BD21C" w:rsidR="00DE2FBD" w:rsidRPr="00574314" w:rsidRDefault="00DE2FBD" w:rsidP="005053C3">
      <w:pPr>
        <w:pStyle w:val="FootnoteText"/>
        <w:rPr>
          <w:rFonts w:asciiTheme="minorHAnsi" w:hAnsiTheme="minorHAnsi" w:cstheme="minorHAnsi"/>
          <w:sz w:val="16"/>
          <w:szCs w:val="16"/>
        </w:rPr>
      </w:pPr>
      <w:r w:rsidRPr="00574314">
        <w:rPr>
          <w:rStyle w:val="FootnoteReference"/>
          <w:rFonts w:asciiTheme="minorHAnsi" w:hAnsiTheme="minorHAnsi" w:cstheme="minorHAnsi"/>
          <w:sz w:val="16"/>
          <w:szCs w:val="16"/>
        </w:rPr>
        <w:footnoteRef/>
      </w:r>
      <w:r w:rsidRPr="00574314">
        <w:rPr>
          <w:rFonts w:asciiTheme="minorHAnsi" w:hAnsiTheme="minorHAnsi" w:cstheme="minorHAnsi"/>
          <w:sz w:val="16"/>
          <w:szCs w:val="16"/>
        </w:rPr>
        <w:t xml:space="preserve"> The costs of the </w:t>
      </w:r>
      <w:r w:rsidR="001C74E0" w:rsidRPr="00574314">
        <w:rPr>
          <w:rFonts w:asciiTheme="minorHAnsi" w:hAnsiTheme="minorHAnsi" w:cstheme="minorHAnsi"/>
          <w:sz w:val="16"/>
          <w:szCs w:val="16"/>
        </w:rPr>
        <w:t>rural provider</w:t>
      </w:r>
      <w:r w:rsidRPr="00574314">
        <w:rPr>
          <w:rFonts w:asciiTheme="minorHAnsi" w:hAnsiTheme="minorHAnsi" w:cstheme="minorHAnsi"/>
          <w:sz w:val="16"/>
          <w:szCs w:val="16"/>
        </w:rPr>
        <w:t xml:space="preserve"> were only considered in calculating salaries, because majority of the other costs </w:t>
      </w:r>
      <w:r w:rsidR="00D33DC2" w:rsidRPr="00574314">
        <w:rPr>
          <w:rFonts w:asciiTheme="minorHAnsi" w:hAnsiTheme="minorHAnsi" w:cstheme="minorHAnsi"/>
          <w:sz w:val="16"/>
          <w:szCs w:val="16"/>
        </w:rPr>
        <w:t xml:space="preserve">for rural providers </w:t>
      </w:r>
      <w:r w:rsidRPr="00574314">
        <w:rPr>
          <w:rFonts w:asciiTheme="minorHAnsi" w:hAnsiTheme="minorHAnsi" w:cstheme="minorHAnsi"/>
          <w:sz w:val="16"/>
          <w:szCs w:val="16"/>
        </w:rPr>
        <w:t>are compensated by the state.</w:t>
      </w:r>
    </w:p>
  </w:footnote>
  <w:footnote w:id="8">
    <w:p w14:paraId="127C5627" w14:textId="7D8F9E2E" w:rsidR="009730C4" w:rsidRPr="009730C4" w:rsidRDefault="009730C4">
      <w:pPr>
        <w:pStyle w:val="FootnoteText"/>
        <w:rPr>
          <w:lang w:val="et-EE"/>
        </w:rPr>
      </w:pPr>
      <w:r>
        <w:rPr>
          <w:rStyle w:val="FootnoteReference"/>
        </w:rPr>
        <w:footnoteRef/>
      </w:r>
      <w:r>
        <w:t xml:space="preserve"> </w:t>
      </w:r>
      <w:r w:rsidRPr="00574314">
        <w:rPr>
          <w:rFonts w:asciiTheme="minorHAnsi" w:hAnsiTheme="minorHAnsi" w:cstheme="minorHAnsi"/>
          <w:sz w:val="16"/>
          <w:szCs w:val="16"/>
        </w:rPr>
        <w:t>The World Bank and USAID. 2009.Designing and Implementing Health Care Provider Payment Systems. Washington.</w:t>
      </w:r>
    </w:p>
  </w:footnote>
  <w:footnote w:id="9">
    <w:p w14:paraId="23A5E581" w14:textId="78E34A85" w:rsidR="004115AB" w:rsidRPr="00574314" w:rsidRDefault="004115AB">
      <w:pPr>
        <w:pStyle w:val="FootnoteText"/>
        <w:rPr>
          <w:rFonts w:asciiTheme="minorHAnsi" w:hAnsiTheme="minorHAnsi" w:cstheme="minorHAnsi"/>
          <w:sz w:val="16"/>
          <w:szCs w:val="16"/>
          <w:lang w:val="et-EE"/>
        </w:rPr>
      </w:pPr>
      <w:r w:rsidRPr="00574314">
        <w:rPr>
          <w:rStyle w:val="FootnoteReference"/>
          <w:rFonts w:asciiTheme="minorHAnsi" w:hAnsiTheme="minorHAnsi" w:cstheme="minorHAnsi"/>
          <w:sz w:val="16"/>
          <w:szCs w:val="16"/>
        </w:rPr>
        <w:footnoteRef/>
      </w:r>
      <w:r w:rsidRPr="00574314">
        <w:rPr>
          <w:rFonts w:asciiTheme="minorHAnsi" w:hAnsiTheme="minorHAnsi" w:cstheme="minorHAnsi"/>
          <w:sz w:val="16"/>
          <w:szCs w:val="16"/>
        </w:rPr>
        <w:t xml:space="preserve"> </w:t>
      </w:r>
      <w:r w:rsidR="009730C4" w:rsidRPr="009730C4">
        <w:rPr>
          <w:rFonts w:asciiTheme="minorHAnsi" w:hAnsiTheme="minorHAnsi" w:cstheme="minorHAnsi"/>
          <w:i/>
          <w:iCs/>
          <w:sz w:val="16"/>
          <w:szCs w:val="16"/>
        </w:rPr>
        <w:t>Ibid</w:t>
      </w:r>
      <w:r w:rsidRPr="00574314">
        <w:rPr>
          <w:rFonts w:asciiTheme="minorHAnsi" w:hAnsiTheme="minorHAnsi"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4667"/>
      <w:gridCol w:w="4667"/>
      <w:gridCol w:w="4667"/>
    </w:tblGrid>
    <w:tr w:rsidR="00DE2FBD" w14:paraId="550604C5" w14:textId="77777777" w:rsidTr="006243B9">
      <w:tc>
        <w:tcPr>
          <w:tcW w:w="4667" w:type="dxa"/>
        </w:tcPr>
        <w:p w14:paraId="23338E4F" w14:textId="3359A0AD" w:rsidR="00DE2FBD" w:rsidRDefault="00DE2FBD" w:rsidP="006243B9">
          <w:pPr>
            <w:pStyle w:val="Header"/>
            <w:ind w:left="-115"/>
          </w:pPr>
        </w:p>
      </w:tc>
      <w:tc>
        <w:tcPr>
          <w:tcW w:w="4667" w:type="dxa"/>
        </w:tcPr>
        <w:p w14:paraId="7BF03668" w14:textId="36EB4B37" w:rsidR="00DE2FBD" w:rsidRDefault="00DE2FBD" w:rsidP="006243B9">
          <w:pPr>
            <w:pStyle w:val="Header"/>
            <w:jc w:val="center"/>
          </w:pPr>
        </w:p>
      </w:tc>
      <w:tc>
        <w:tcPr>
          <w:tcW w:w="4667" w:type="dxa"/>
        </w:tcPr>
        <w:p w14:paraId="25DE0CC1" w14:textId="15F660DD" w:rsidR="00DE2FBD" w:rsidRDefault="00DE2FBD" w:rsidP="006243B9">
          <w:pPr>
            <w:pStyle w:val="Header"/>
            <w:ind w:right="-115"/>
            <w:jc w:val="right"/>
          </w:pPr>
        </w:p>
      </w:tc>
    </w:tr>
  </w:tbl>
  <w:p w14:paraId="2D4334F4" w14:textId="1C2F8512" w:rsidR="00DE2FBD" w:rsidRDefault="00DE2FBD" w:rsidP="006243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2749A"/>
    <w:multiLevelType w:val="hybridMultilevel"/>
    <w:tmpl w:val="2D42A7D2"/>
    <w:lvl w:ilvl="0" w:tplc="D1067A9A">
      <w:start w:val="1"/>
      <w:numFmt w:val="bullet"/>
      <w:lvlText w:val=""/>
      <w:lvlJc w:val="left"/>
      <w:pPr>
        <w:ind w:left="720" w:hanging="360"/>
      </w:pPr>
      <w:rPr>
        <w:rFonts w:ascii="Symbol" w:hAnsi="Symbol" w:hint="default"/>
      </w:rPr>
    </w:lvl>
    <w:lvl w:ilvl="1" w:tplc="FDA6675E">
      <w:start w:val="1"/>
      <w:numFmt w:val="bullet"/>
      <w:lvlText w:val="o"/>
      <w:lvlJc w:val="left"/>
      <w:pPr>
        <w:ind w:left="1440" w:hanging="360"/>
      </w:pPr>
      <w:rPr>
        <w:rFonts w:ascii="Courier New" w:hAnsi="Courier New" w:hint="default"/>
      </w:rPr>
    </w:lvl>
    <w:lvl w:ilvl="2" w:tplc="E0A6CBB8">
      <w:start w:val="1"/>
      <w:numFmt w:val="bullet"/>
      <w:lvlText w:val=""/>
      <w:lvlJc w:val="left"/>
      <w:pPr>
        <w:ind w:left="2160" w:hanging="360"/>
      </w:pPr>
      <w:rPr>
        <w:rFonts w:ascii="Wingdings" w:hAnsi="Wingdings" w:hint="default"/>
      </w:rPr>
    </w:lvl>
    <w:lvl w:ilvl="3" w:tplc="F2EAB47E">
      <w:start w:val="1"/>
      <w:numFmt w:val="bullet"/>
      <w:lvlText w:val=""/>
      <w:lvlJc w:val="left"/>
      <w:pPr>
        <w:ind w:left="2880" w:hanging="360"/>
      </w:pPr>
      <w:rPr>
        <w:rFonts w:ascii="Symbol" w:hAnsi="Symbol" w:hint="default"/>
      </w:rPr>
    </w:lvl>
    <w:lvl w:ilvl="4" w:tplc="BB80B306">
      <w:start w:val="1"/>
      <w:numFmt w:val="bullet"/>
      <w:lvlText w:val="o"/>
      <w:lvlJc w:val="left"/>
      <w:pPr>
        <w:ind w:left="3600" w:hanging="360"/>
      </w:pPr>
      <w:rPr>
        <w:rFonts w:ascii="Courier New" w:hAnsi="Courier New" w:hint="default"/>
      </w:rPr>
    </w:lvl>
    <w:lvl w:ilvl="5" w:tplc="6CF46474">
      <w:start w:val="1"/>
      <w:numFmt w:val="bullet"/>
      <w:lvlText w:val=""/>
      <w:lvlJc w:val="left"/>
      <w:pPr>
        <w:ind w:left="4320" w:hanging="360"/>
      </w:pPr>
      <w:rPr>
        <w:rFonts w:ascii="Wingdings" w:hAnsi="Wingdings" w:hint="default"/>
      </w:rPr>
    </w:lvl>
    <w:lvl w:ilvl="6" w:tplc="3B2C9848">
      <w:start w:val="1"/>
      <w:numFmt w:val="bullet"/>
      <w:lvlText w:val=""/>
      <w:lvlJc w:val="left"/>
      <w:pPr>
        <w:ind w:left="5040" w:hanging="360"/>
      </w:pPr>
      <w:rPr>
        <w:rFonts w:ascii="Symbol" w:hAnsi="Symbol" w:hint="default"/>
      </w:rPr>
    </w:lvl>
    <w:lvl w:ilvl="7" w:tplc="9E56C43E">
      <w:start w:val="1"/>
      <w:numFmt w:val="bullet"/>
      <w:lvlText w:val="o"/>
      <w:lvlJc w:val="left"/>
      <w:pPr>
        <w:ind w:left="5760" w:hanging="360"/>
      </w:pPr>
      <w:rPr>
        <w:rFonts w:ascii="Courier New" w:hAnsi="Courier New" w:hint="default"/>
      </w:rPr>
    </w:lvl>
    <w:lvl w:ilvl="8" w:tplc="247CFF46">
      <w:start w:val="1"/>
      <w:numFmt w:val="bullet"/>
      <w:lvlText w:val=""/>
      <w:lvlJc w:val="left"/>
      <w:pPr>
        <w:ind w:left="6480" w:hanging="360"/>
      </w:pPr>
      <w:rPr>
        <w:rFonts w:ascii="Wingdings" w:hAnsi="Wingdings" w:hint="default"/>
      </w:rPr>
    </w:lvl>
  </w:abstractNum>
  <w:abstractNum w:abstractNumId="1" w15:restartNumberingAfterBreak="0">
    <w:nsid w:val="0766040E"/>
    <w:multiLevelType w:val="hybridMultilevel"/>
    <w:tmpl w:val="8FAC4A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9F3728"/>
    <w:multiLevelType w:val="hybridMultilevel"/>
    <w:tmpl w:val="67BE40B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5E11C5B"/>
    <w:multiLevelType w:val="hybridMultilevel"/>
    <w:tmpl w:val="B71C2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56761"/>
    <w:multiLevelType w:val="hybridMultilevel"/>
    <w:tmpl w:val="43A68C3E"/>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0300734"/>
    <w:multiLevelType w:val="hybridMultilevel"/>
    <w:tmpl w:val="2F4E3F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3A1E4744"/>
    <w:multiLevelType w:val="hybridMultilevel"/>
    <w:tmpl w:val="77543CB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7" w15:restartNumberingAfterBreak="0">
    <w:nsid w:val="3F834647"/>
    <w:multiLevelType w:val="hybridMultilevel"/>
    <w:tmpl w:val="A5CE37E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54A86BC1"/>
    <w:multiLevelType w:val="hybridMultilevel"/>
    <w:tmpl w:val="1584A672"/>
    <w:lvl w:ilvl="0" w:tplc="089A4AC6">
      <w:start w:val="1"/>
      <w:numFmt w:val="bullet"/>
      <w:lvlText w:val=""/>
      <w:lvlJc w:val="left"/>
      <w:pPr>
        <w:ind w:left="720" w:hanging="360"/>
      </w:pPr>
      <w:rPr>
        <w:rFonts w:ascii="Symbol" w:hAnsi="Symbol" w:hint="default"/>
      </w:rPr>
    </w:lvl>
    <w:lvl w:ilvl="1" w:tplc="FDE25FE0">
      <w:start w:val="1"/>
      <w:numFmt w:val="bullet"/>
      <w:lvlText w:val="o"/>
      <w:lvlJc w:val="left"/>
      <w:pPr>
        <w:ind w:left="1440" w:hanging="360"/>
      </w:pPr>
      <w:rPr>
        <w:rFonts w:ascii="Courier New" w:hAnsi="Courier New" w:hint="default"/>
      </w:rPr>
    </w:lvl>
    <w:lvl w:ilvl="2" w:tplc="85C2097C">
      <w:start w:val="1"/>
      <w:numFmt w:val="bullet"/>
      <w:lvlText w:val=""/>
      <w:lvlJc w:val="left"/>
      <w:pPr>
        <w:ind w:left="2160" w:hanging="360"/>
      </w:pPr>
      <w:rPr>
        <w:rFonts w:ascii="Wingdings" w:hAnsi="Wingdings" w:hint="default"/>
      </w:rPr>
    </w:lvl>
    <w:lvl w:ilvl="3" w:tplc="22CA083C">
      <w:start w:val="1"/>
      <w:numFmt w:val="bullet"/>
      <w:lvlText w:val=""/>
      <w:lvlJc w:val="left"/>
      <w:pPr>
        <w:ind w:left="2880" w:hanging="360"/>
      </w:pPr>
      <w:rPr>
        <w:rFonts w:ascii="Symbol" w:hAnsi="Symbol" w:hint="default"/>
      </w:rPr>
    </w:lvl>
    <w:lvl w:ilvl="4" w:tplc="6854F0E4">
      <w:start w:val="1"/>
      <w:numFmt w:val="bullet"/>
      <w:lvlText w:val="o"/>
      <w:lvlJc w:val="left"/>
      <w:pPr>
        <w:ind w:left="3600" w:hanging="360"/>
      </w:pPr>
      <w:rPr>
        <w:rFonts w:ascii="Courier New" w:hAnsi="Courier New" w:hint="default"/>
      </w:rPr>
    </w:lvl>
    <w:lvl w:ilvl="5" w:tplc="0D96792A">
      <w:start w:val="1"/>
      <w:numFmt w:val="bullet"/>
      <w:lvlText w:val=""/>
      <w:lvlJc w:val="left"/>
      <w:pPr>
        <w:ind w:left="4320" w:hanging="360"/>
      </w:pPr>
      <w:rPr>
        <w:rFonts w:ascii="Wingdings" w:hAnsi="Wingdings" w:hint="default"/>
      </w:rPr>
    </w:lvl>
    <w:lvl w:ilvl="6" w:tplc="9F22875A">
      <w:start w:val="1"/>
      <w:numFmt w:val="bullet"/>
      <w:lvlText w:val=""/>
      <w:lvlJc w:val="left"/>
      <w:pPr>
        <w:ind w:left="5040" w:hanging="360"/>
      </w:pPr>
      <w:rPr>
        <w:rFonts w:ascii="Symbol" w:hAnsi="Symbol" w:hint="default"/>
      </w:rPr>
    </w:lvl>
    <w:lvl w:ilvl="7" w:tplc="269805A0">
      <w:start w:val="1"/>
      <w:numFmt w:val="bullet"/>
      <w:lvlText w:val="o"/>
      <w:lvlJc w:val="left"/>
      <w:pPr>
        <w:ind w:left="5760" w:hanging="360"/>
      </w:pPr>
      <w:rPr>
        <w:rFonts w:ascii="Courier New" w:hAnsi="Courier New" w:hint="default"/>
      </w:rPr>
    </w:lvl>
    <w:lvl w:ilvl="8" w:tplc="4830E8CA">
      <w:start w:val="1"/>
      <w:numFmt w:val="bullet"/>
      <w:lvlText w:val=""/>
      <w:lvlJc w:val="left"/>
      <w:pPr>
        <w:ind w:left="6480" w:hanging="360"/>
      </w:pPr>
      <w:rPr>
        <w:rFonts w:ascii="Wingdings" w:hAnsi="Wingdings" w:hint="default"/>
      </w:rPr>
    </w:lvl>
  </w:abstractNum>
  <w:abstractNum w:abstractNumId="9" w15:restartNumberingAfterBreak="0">
    <w:nsid w:val="550B4AEA"/>
    <w:multiLevelType w:val="hybridMultilevel"/>
    <w:tmpl w:val="692E7A98"/>
    <w:lvl w:ilvl="0" w:tplc="9804816E">
      <w:start w:val="1"/>
      <w:numFmt w:val="bullet"/>
      <w:lvlText w:val=""/>
      <w:lvlJc w:val="left"/>
      <w:pPr>
        <w:ind w:left="720" w:hanging="360"/>
      </w:pPr>
      <w:rPr>
        <w:rFonts w:ascii="Symbol" w:hAnsi="Symbol" w:hint="default"/>
      </w:rPr>
    </w:lvl>
    <w:lvl w:ilvl="1" w:tplc="E432CEE6">
      <w:start w:val="1"/>
      <w:numFmt w:val="bullet"/>
      <w:lvlText w:val="o"/>
      <w:lvlJc w:val="left"/>
      <w:pPr>
        <w:ind w:left="1440" w:hanging="360"/>
      </w:pPr>
      <w:rPr>
        <w:rFonts w:ascii="Courier New" w:hAnsi="Courier New" w:hint="default"/>
      </w:rPr>
    </w:lvl>
    <w:lvl w:ilvl="2" w:tplc="E1DAFFC2">
      <w:start w:val="1"/>
      <w:numFmt w:val="bullet"/>
      <w:lvlText w:val=""/>
      <w:lvlJc w:val="left"/>
      <w:pPr>
        <w:ind w:left="2160" w:hanging="360"/>
      </w:pPr>
      <w:rPr>
        <w:rFonts w:ascii="Wingdings" w:hAnsi="Wingdings" w:hint="default"/>
      </w:rPr>
    </w:lvl>
    <w:lvl w:ilvl="3" w:tplc="3F9224E6">
      <w:start w:val="1"/>
      <w:numFmt w:val="bullet"/>
      <w:lvlText w:val=""/>
      <w:lvlJc w:val="left"/>
      <w:pPr>
        <w:ind w:left="2880" w:hanging="360"/>
      </w:pPr>
      <w:rPr>
        <w:rFonts w:ascii="Symbol" w:hAnsi="Symbol" w:hint="default"/>
      </w:rPr>
    </w:lvl>
    <w:lvl w:ilvl="4" w:tplc="0C80EB50">
      <w:start w:val="1"/>
      <w:numFmt w:val="bullet"/>
      <w:lvlText w:val="o"/>
      <w:lvlJc w:val="left"/>
      <w:pPr>
        <w:ind w:left="3600" w:hanging="360"/>
      </w:pPr>
      <w:rPr>
        <w:rFonts w:ascii="Courier New" w:hAnsi="Courier New" w:hint="default"/>
      </w:rPr>
    </w:lvl>
    <w:lvl w:ilvl="5" w:tplc="F16E9B60">
      <w:start w:val="1"/>
      <w:numFmt w:val="bullet"/>
      <w:lvlText w:val=""/>
      <w:lvlJc w:val="left"/>
      <w:pPr>
        <w:ind w:left="4320" w:hanging="360"/>
      </w:pPr>
      <w:rPr>
        <w:rFonts w:ascii="Wingdings" w:hAnsi="Wingdings" w:hint="default"/>
      </w:rPr>
    </w:lvl>
    <w:lvl w:ilvl="6" w:tplc="3E3AAB7A">
      <w:start w:val="1"/>
      <w:numFmt w:val="bullet"/>
      <w:lvlText w:val=""/>
      <w:lvlJc w:val="left"/>
      <w:pPr>
        <w:ind w:left="5040" w:hanging="360"/>
      </w:pPr>
      <w:rPr>
        <w:rFonts w:ascii="Symbol" w:hAnsi="Symbol" w:hint="default"/>
      </w:rPr>
    </w:lvl>
    <w:lvl w:ilvl="7" w:tplc="FB3CC7C2">
      <w:start w:val="1"/>
      <w:numFmt w:val="bullet"/>
      <w:lvlText w:val="o"/>
      <w:lvlJc w:val="left"/>
      <w:pPr>
        <w:ind w:left="5760" w:hanging="360"/>
      </w:pPr>
      <w:rPr>
        <w:rFonts w:ascii="Courier New" w:hAnsi="Courier New" w:hint="default"/>
      </w:rPr>
    </w:lvl>
    <w:lvl w:ilvl="8" w:tplc="FA8A087C">
      <w:start w:val="1"/>
      <w:numFmt w:val="bullet"/>
      <w:lvlText w:val=""/>
      <w:lvlJc w:val="left"/>
      <w:pPr>
        <w:ind w:left="6480" w:hanging="360"/>
      </w:pPr>
      <w:rPr>
        <w:rFonts w:ascii="Wingdings" w:hAnsi="Wingdings" w:hint="default"/>
      </w:rPr>
    </w:lvl>
  </w:abstractNum>
  <w:abstractNum w:abstractNumId="10" w15:restartNumberingAfterBreak="0">
    <w:nsid w:val="67C777D2"/>
    <w:multiLevelType w:val="hybridMultilevel"/>
    <w:tmpl w:val="0E0AFB1A"/>
    <w:lvl w:ilvl="0" w:tplc="9F5AD556">
      <w:start w:val="1"/>
      <w:numFmt w:val="bullet"/>
      <w:lvlText w:val=""/>
      <w:lvlJc w:val="left"/>
      <w:pPr>
        <w:ind w:left="720" w:hanging="360"/>
      </w:pPr>
      <w:rPr>
        <w:rFonts w:ascii="Symbol" w:hAnsi="Symbol" w:hint="default"/>
      </w:rPr>
    </w:lvl>
    <w:lvl w:ilvl="1" w:tplc="F9A4B5C6">
      <w:start w:val="1"/>
      <w:numFmt w:val="bullet"/>
      <w:lvlText w:val="o"/>
      <w:lvlJc w:val="left"/>
      <w:pPr>
        <w:ind w:left="1440" w:hanging="360"/>
      </w:pPr>
      <w:rPr>
        <w:rFonts w:ascii="Courier New" w:hAnsi="Courier New" w:hint="default"/>
      </w:rPr>
    </w:lvl>
    <w:lvl w:ilvl="2" w:tplc="FE6623EA">
      <w:start w:val="1"/>
      <w:numFmt w:val="bullet"/>
      <w:lvlText w:val=""/>
      <w:lvlJc w:val="left"/>
      <w:pPr>
        <w:ind w:left="2160" w:hanging="360"/>
      </w:pPr>
      <w:rPr>
        <w:rFonts w:ascii="Wingdings" w:hAnsi="Wingdings" w:hint="default"/>
      </w:rPr>
    </w:lvl>
    <w:lvl w:ilvl="3" w:tplc="0EAE870A">
      <w:start w:val="1"/>
      <w:numFmt w:val="bullet"/>
      <w:lvlText w:val=""/>
      <w:lvlJc w:val="left"/>
      <w:pPr>
        <w:ind w:left="2880" w:hanging="360"/>
      </w:pPr>
      <w:rPr>
        <w:rFonts w:ascii="Symbol" w:hAnsi="Symbol" w:hint="default"/>
      </w:rPr>
    </w:lvl>
    <w:lvl w:ilvl="4" w:tplc="047C4144">
      <w:start w:val="1"/>
      <w:numFmt w:val="bullet"/>
      <w:lvlText w:val="o"/>
      <w:lvlJc w:val="left"/>
      <w:pPr>
        <w:ind w:left="3600" w:hanging="360"/>
      </w:pPr>
      <w:rPr>
        <w:rFonts w:ascii="Courier New" w:hAnsi="Courier New" w:hint="default"/>
      </w:rPr>
    </w:lvl>
    <w:lvl w:ilvl="5" w:tplc="28EC3B26">
      <w:start w:val="1"/>
      <w:numFmt w:val="bullet"/>
      <w:lvlText w:val=""/>
      <w:lvlJc w:val="left"/>
      <w:pPr>
        <w:ind w:left="4320" w:hanging="360"/>
      </w:pPr>
      <w:rPr>
        <w:rFonts w:ascii="Wingdings" w:hAnsi="Wingdings" w:hint="default"/>
      </w:rPr>
    </w:lvl>
    <w:lvl w:ilvl="6" w:tplc="6D804F54">
      <w:start w:val="1"/>
      <w:numFmt w:val="bullet"/>
      <w:lvlText w:val=""/>
      <w:lvlJc w:val="left"/>
      <w:pPr>
        <w:ind w:left="5040" w:hanging="360"/>
      </w:pPr>
      <w:rPr>
        <w:rFonts w:ascii="Symbol" w:hAnsi="Symbol" w:hint="default"/>
      </w:rPr>
    </w:lvl>
    <w:lvl w:ilvl="7" w:tplc="AB685D3E">
      <w:start w:val="1"/>
      <w:numFmt w:val="bullet"/>
      <w:lvlText w:val="o"/>
      <w:lvlJc w:val="left"/>
      <w:pPr>
        <w:ind w:left="5760" w:hanging="360"/>
      </w:pPr>
      <w:rPr>
        <w:rFonts w:ascii="Courier New" w:hAnsi="Courier New" w:hint="default"/>
      </w:rPr>
    </w:lvl>
    <w:lvl w:ilvl="8" w:tplc="93629FDE">
      <w:start w:val="1"/>
      <w:numFmt w:val="bullet"/>
      <w:lvlText w:val=""/>
      <w:lvlJc w:val="left"/>
      <w:pPr>
        <w:ind w:left="6480" w:hanging="360"/>
      </w:pPr>
      <w:rPr>
        <w:rFonts w:ascii="Wingdings" w:hAnsi="Wingdings" w:hint="default"/>
      </w:rPr>
    </w:lvl>
  </w:abstractNum>
  <w:abstractNum w:abstractNumId="11" w15:restartNumberingAfterBreak="0">
    <w:nsid w:val="7C24424C"/>
    <w:multiLevelType w:val="hybridMultilevel"/>
    <w:tmpl w:val="5C7ECCC8"/>
    <w:lvl w:ilvl="0" w:tplc="D2768AC8">
      <w:start w:val="1"/>
      <w:numFmt w:val="bullet"/>
      <w:lvlText w:val=""/>
      <w:lvlJc w:val="left"/>
      <w:pPr>
        <w:ind w:left="720" w:hanging="360"/>
      </w:pPr>
      <w:rPr>
        <w:rFonts w:ascii="Symbol" w:hAnsi="Symbol" w:hint="default"/>
      </w:rPr>
    </w:lvl>
    <w:lvl w:ilvl="1" w:tplc="8AF8BE22">
      <w:start w:val="1"/>
      <w:numFmt w:val="bullet"/>
      <w:lvlText w:val="o"/>
      <w:lvlJc w:val="left"/>
      <w:pPr>
        <w:ind w:left="1440" w:hanging="360"/>
      </w:pPr>
      <w:rPr>
        <w:rFonts w:ascii="Courier New" w:hAnsi="Courier New" w:hint="default"/>
      </w:rPr>
    </w:lvl>
    <w:lvl w:ilvl="2" w:tplc="BDCE3372">
      <w:start w:val="1"/>
      <w:numFmt w:val="bullet"/>
      <w:lvlText w:val=""/>
      <w:lvlJc w:val="left"/>
      <w:pPr>
        <w:ind w:left="2160" w:hanging="360"/>
      </w:pPr>
      <w:rPr>
        <w:rFonts w:ascii="Wingdings" w:hAnsi="Wingdings" w:hint="default"/>
      </w:rPr>
    </w:lvl>
    <w:lvl w:ilvl="3" w:tplc="2C7868AA">
      <w:start w:val="1"/>
      <w:numFmt w:val="bullet"/>
      <w:lvlText w:val=""/>
      <w:lvlJc w:val="left"/>
      <w:pPr>
        <w:ind w:left="2880" w:hanging="360"/>
      </w:pPr>
      <w:rPr>
        <w:rFonts w:ascii="Symbol" w:hAnsi="Symbol" w:hint="default"/>
      </w:rPr>
    </w:lvl>
    <w:lvl w:ilvl="4" w:tplc="D2163726">
      <w:start w:val="1"/>
      <w:numFmt w:val="bullet"/>
      <w:lvlText w:val="o"/>
      <w:lvlJc w:val="left"/>
      <w:pPr>
        <w:ind w:left="3600" w:hanging="360"/>
      </w:pPr>
      <w:rPr>
        <w:rFonts w:ascii="Courier New" w:hAnsi="Courier New" w:hint="default"/>
      </w:rPr>
    </w:lvl>
    <w:lvl w:ilvl="5" w:tplc="0440883A">
      <w:start w:val="1"/>
      <w:numFmt w:val="bullet"/>
      <w:lvlText w:val=""/>
      <w:lvlJc w:val="left"/>
      <w:pPr>
        <w:ind w:left="4320" w:hanging="360"/>
      </w:pPr>
      <w:rPr>
        <w:rFonts w:ascii="Wingdings" w:hAnsi="Wingdings" w:hint="default"/>
      </w:rPr>
    </w:lvl>
    <w:lvl w:ilvl="6" w:tplc="999EB872">
      <w:start w:val="1"/>
      <w:numFmt w:val="bullet"/>
      <w:lvlText w:val=""/>
      <w:lvlJc w:val="left"/>
      <w:pPr>
        <w:ind w:left="5040" w:hanging="360"/>
      </w:pPr>
      <w:rPr>
        <w:rFonts w:ascii="Symbol" w:hAnsi="Symbol" w:hint="default"/>
      </w:rPr>
    </w:lvl>
    <w:lvl w:ilvl="7" w:tplc="96F4A432">
      <w:start w:val="1"/>
      <w:numFmt w:val="bullet"/>
      <w:lvlText w:val="o"/>
      <w:lvlJc w:val="left"/>
      <w:pPr>
        <w:ind w:left="5760" w:hanging="360"/>
      </w:pPr>
      <w:rPr>
        <w:rFonts w:ascii="Courier New" w:hAnsi="Courier New" w:hint="default"/>
      </w:rPr>
    </w:lvl>
    <w:lvl w:ilvl="8" w:tplc="AABEDF56">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
  </w:num>
  <w:num w:numId="4">
    <w:abstractNumId w:val="4"/>
  </w:num>
  <w:num w:numId="5">
    <w:abstractNumId w:val="7"/>
  </w:num>
  <w:num w:numId="6">
    <w:abstractNumId w:val="6"/>
  </w:num>
  <w:num w:numId="7">
    <w:abstractNumId w:val="3"/>
  </w:num>
  <w:num w:numId="8">
    <w:abstractNumId w:val="0"/>
  </w:num>
  <w:num w:numId="9">
    <w:abstractNumId w:val="9"/>
  </w:num>
  <w:num w:numId="10">
    <w:abstractNumId w:val="10"/>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520"/>
    <w:rsid w:val="00000725"/>
    <w:rsid w:val="00000E0F"/>
    <w:rsid w:val="000013A5"/>
    <w:rsid w:val="00003130"/>
    <w:rsid w:val="000048C1"/>
    <w:rsid w:val="0000588E"/>
    <w:rsid w:val="00007562"/>
    <w:rsid w:val="00007E45"/>
    <w:rsid w:val="0000D023"/>
    <w:rsid w:val="000103B0"/>
    <w:rsid w:val="00010527"/>
    <w:rsid w:val="0001269B"/>
    <w:rsid w:val="00014167"/>
    <w:rsid w:val="00014AAA"/>
    <w:rsid w:val="00014BC1"/>
    <w:rsid w:val="00014DBD"/>
    <w:rsid w:val="00014F4C"/>
    <w:rsid w:val="000160F1"/>
    <w:rsid w:val="000201CD"/>
    <w:rsid w:val="00020854"/>
    <w:rsid w:val="0002120B"/>
    <w:rsid w:val="00021F86"/>
    <w:rsid w:val="0002319E"/>
    <w:rsid w:val="000243EA"/>
    <w:rsid w:val="00024CBA"/>
    <w:rsid w:val="000251C7"/>
    <w:rsid w:val="00027F01"/>
    <w:rsid w:val="00030DDA"/>
    <w:rsid w:val="00031461"/>
    <w:rsid w:val="000316F8"/>
    <w:rsid w:val="00034145"/>
    <w:rsid w:val="00034E10"/>
    <w:rsid w:val="00036324"/>
    <w:rsid w:val="00036969"/>
    <w:rsid w:val="000369B7"/>
    <w:rsid w:val="00037A7D"/>
    <w:rsid w:val="0003DD09"/>
    <w:rsid w:val="00041237"/>
    <w:rsid w:val="00042D00"/>
    <w:rsid w:val="00045515"/>
    <w:rsid w:val="000455A7"/>
    <w:rsid w:val="000509A1"/>
    <w:rsid w:val="00056E9D"/>
    <w:rsid w:val="0006223B"/>
    <w:rsid w:val="0006396C"/>
    <w:rsid w:val="00063ABC"/>
    <w:rsid w:val="00063DAF"/>
    <w:rsid w:val="00064CA5"/>
    <w:rsid w:val="00065D95"/>
    <w:rsid w:val="0007027E"/>
    <w:rsid w:val="00076A1A"/>
    <w:rsid w:val="00077D88"/>
    <w:rsid w:val="00080E5F"/>
    <w:rsid w:val="000824A3"/>
    <w:rsid w:val="000831B7"/>
    <w:rsid w:val="00087C90"/>
    <w:rsid w:val="00094A5A"/>
    <w:rsid w:val="00095558"/>
    <w:rsid w:val="0009581E"/>
    <w:rsid w:val="00095AA4"/>
    <w:rsid w:val="00097ECB"/>
    <w:rsid w:val="000A0082"/>
    <w:rsid w:val="000A111D"/>
    <w:rsid w:val="000A12ED"/>
    <w:rsid w:val="000A193E"/>
    <w:rsid w:val="000A6BD6"/>
    <w:rsid w:val="000B0AFF"/>
    <w:rsid w:val="000B0D5C"/>
    <w:rsid w:val="000B34D3"/>
    <w:rsid w:val="000B5852"/>
    <w:rsid w:val="000B7F63"/>
    <w:rsid w:val="000C0555"/>
    <w:rsid w:val="000C096F"/>
    <w:rsid w:val="000C18CB"/>
    <w:rsid w:val="000C2434"/>
    <w:rsid w:val="000C431B"/>
    <w:rsid w:val="000C54B9"/>
    <w:rsid w:val="000C573A"/>
    <w:rsid w:val="000C6B46"/>
    <w:rsid w:val="000D1545"/>
    <w:rsid w:val="000D2398"/>
    <w:rsid w:val="000D64D3"/>
    <w:rsid w:val="000D660A"/>
    <w:rsid w:val="000D6616"/>
    <w:rsid w:val="000E1F14"/>
    <w:rsid w:val="000E323B"/>
    <w:rsid w:val="000E4394"/>
    <w:rsid w:val="000E5E09"/>
    <w:rsid w:val="000E6D27"/>
    <w:rsid w:val="000F17B8"/>
    <w:rsid w:val="000F4F53"/>
    <w:rsid w:val="000F573F"/>
    <w:rsid w:val="000F65F6"/>
    <w:rsid w:val="000F7D7B"/>
    <w:rsid w:val="0010217A"/>
    <w:rsid w:val="001030F8"/>
    <w:rsid w:val="00104C49"/>
    <w:rsid w:val="00106E20"/>
    <w:rsid w:val="0010C3F3"/>
    <w:rsid w:val="001159C5"/>
    <w:rsid w:val="001200E6"/>
    <w:rsid w:val="0012117F"/>
    <w:rsid w:val="0012777E"/>
    <w:rsid w:val="001278A1"/>
    <w:rsid w:val="00127E8D"/>
    <w:rsid w:val="0013011E"/>
    <w:rsid w:val="00130B7E"/>
    <w:rsid w:val="00131FEF"/>
    <w:rsid w:val="00132286"/>
    <w:rsid w:val="00132414"/>
    <w:rsid w:val="001346BA"/>
    <w:rsid w:val="001355A7"/>
    <w:rsid w:val="001363B5"/>
    <w:rsid w:val="00136B62"/>
    <w:rsid w:val="001515B9"/>
    <w:rsid w:val="00152E70"/>
    <w:rsid w:val="0015348F"/>
    <w:rsid w:val="00154284"/>
    <w:rsid w:val="0016045D"/>
    <w:rsid w:val="00160D56"/>
    <w:rsid w:val="00162946"/>
    <w:rsid w:val="001642CF"/>
    <w:rsid w:val="00164EDA"/>
    <w:rsid w:val="0016788C"/>
    <w:rsid w:val="00170724"/>
    <w:rsid w:val="00172178"/>
    <w:rsid w:val="00174167"/>
    <w:rsid w:val="001829C7"/>
    <w:rsid w:val="001836B3"/>
    <w:rsid w:val="00183843"/>
    <w:rsid w:val="0018539A"/>
    <w:rsid w:val="00192F19"/>
    <w:rsid w:val="001941D5"/>
    <w:rsid w:val="001971CF"/>
    <w:rsid w:val="001A1BAD"/>
    <w:rsid w:val="001A2822"/>
    <w:rsid w:val="001B1365"/>
    <w:rsid w:val="001B548E"/>
    <w:rsid w:val="001B572A"/>
    <w:rsid w:val="001B6BA8"/>
    <w:rsid w:val="001B7CAA"/>
    <w:rsid w:val="001C1C50"/>
    <w:rsid w:val="001C224F"/>
    <w:rsid w:val="001C3CCF"/>
    <w:rsid w:val="001C5BD8"/>
    <w:rsid w:val="001C74E0"/>
    <w:rsid w:val="001D4989"/>
    <w:rsid w:val="001D5D2F"/>
    <w:rsid w:val="001E090C"/>
    <w:rsid w:val="001E2890"/>
    <w:rsid w:val="001E3D64"/>
    <w:rsid w:val="001E3DEB"/>
    <w:rsid w:val="001E51CE"/>
    <w:rsid w:val="001E551E"/>
    <w:rsid w:val="001E6038"/>
    <w:rsid w:val="001F19B0"/>
    <w:rsid w:val="001F3669"/>
    <w:rsid w:val="001F4E01"/>
    <w:rsid w:val="001F5A19"/>
    <w:rsid w:val="002021DA"/>
    <w:rsid w:val="002049DC"/>
    <w:rsid w:val="0020591F"/>
    <w:rsid w:val="00206F8C"/>
    <w:rsid w:val="00207571"/>
    <w:rsid w:val="002110D0"/>
    <w:rsid w:val="00224869"/>
    <w:rsid w:val="00225ED8"/>
    <w:rsid w:val="002279A9"/>
    <w:rsid w:val="002313FE"/>
    <w:rsid w:val="0023360E"/>
    <w:rsid w:val="00237E44"/>
    <w:rsid w:val="0024076A"/>
    <w:rsid w:val="00240B79"/>
    <w:rsid w:val="00241462"/>
    <w:rsid w:val="0024239C"/>
    <w:rsid w:val="00244CF4"/>
    <w:rsid w:val="00244EAA"/>
    <w:rsid w:val="00245E02"/>
    <w:rsid w:val="0024639F"/>
    <w:rsid w:val="00253C72"/>
    <w:rsid w:val="00255A56"/>
    <w:rsid w:val="00265AAB"/>
    <w:rsid w:val="00271360"/>
    <w:rsid w:val="00273236"/>
    <w:rsid w:val="0028244F"/>
    <w:rsid w:val="00282A8D"/>
    <w:rsid w:val="00283C98"/>
    <w:rsid w:val="0028431B"/>
    <w:rsid w:val="00292FD5"/>
    <w:rsid w:val="00293033"/>
    <w:rsid w:val="002948D4"/>
    <w:rsid w:val="002A0290"/>
    <w:rsid w:val="002A2950"/>
    <w:rsid w:val="002C0063"/>
    <w:rsid w:val="002C0D7E"/>
    <w:rsid w:val="002C1823"/>
    <w:rsid w:val="002C598C"/>
    <w:rsid w:val="002D0101"/>
    <w:rsid w:val="002D52BF"/>
    <w:rsid w:val="002E3028"/>
    <w:rsid w:val="002E590D"/>
    <w:rsid w:val="002E6473"/>
    <w:rsid w:val="002F28AB"/>
    <w:rsid w:val="002F4725"/>
    <w:rsid w:val="002F5A69"/>
    <w:rsid w:val="002F6440"/>
    <w:rsid w:val="0030001C"/>
    <w:rsid w:val="0030274E"/>
    <w:rsid w:val="00302781"/>
    <w:rsid w:val="00304967"/>
    <w:rsid w:val="0031150D"/>
    <w:rsid w:val="00321AA3"/>
    <w:rsid w:val="00322386"/>
    <w:rsid w:val="003227CE"/>
    <w:rsid w:val="00322A08"/>
    <w:rsid w:val="00327A0A"/>
    <w:rsid w:val="00331E9E"/>
    <w:rsid w:val="00332E32"/>
    <w:rsid w:val="00334987"/>
    <w:rsid w:val="00337021"/>
    <w:rsid w:val="003376FF"/>
    <w:rsid w:val="003414F4"/>
    <w:rsid w:val="00341C88"/>
    <w:rsid w:val="00344265"/>
    <w:rsid w:val="00345708"/>
    <w:rsid w:val="00346432"/>
    <w:rsid w:val="00346954"/>
    <w:rsid w:val="00347788"/>
    <w:rsid w:val="00347C1B"/>
    <w:rsid w:val="003504A0"/>
    <w:rsid w:val="00351073"/>
    <w:rsid w:val="003531CE"/>
    <w:rsid w:val="00353FA2"/>
    <w:rsid w:val="00355074"/>
    <w:rsid w:val="003570D0"/>
    <w:rsid w:val="003606CA"/>
    <w:rsid w:val="003628A7"/>
    <w:rsid w:val="00362AC6"/>
    <w:rsid w:val="00364EAF"/>
    <w:rsid w:val="00365DDB"/>
    <w:rsid w:val="0036697A"/>
    <w:rsid w:val="00367F12"/>
    <w:rsid w:val="003719A8"/>
    <w:rsid w:val="00375F33"/>
    <w:rsid w:val="003823DF"/>
    <w:rsid w:val="00383C5E"/>
    <w:rsid w:val="00393F96"/>
    <w:rsid w:val="00394B09"/>
    <w:rsid w:val="00395EDC"/>
    <w:rsid w:val="0039643C"/>
    <w:rsid w:val="003A1814"/>
    <w:rsid w:val="003A5671"/>
    <w:rsid w:val="003A766C"/>
    <w:rsid w:val="003B005E"/>
    <w:rsid w:val="003B3E66"/>
    <w:rsid w:val="003C1B57"/>
    <w:rsid w:val="003C4590"/>
    <w:rsid w:val="003C5EC0"/>
    <w:rsid w:val="003D1533"/>
    <w:rsid w:val="003D186C"/>
    <w:rsid w:val="003D2909"/>
    <w:rsid w:val="003D3060"/>
    <w:rsid w:val="003E1C86"/>
    <w:rsid w:val="003E2505"/>
    <w:rsid w:val="003E2C3A"/>
    <w:rsid w:val="003E4730"/>
    <w:rsid w:val="003E653F"/>
    <w:rsid w:val="003F0505"/>
    <w:rsid w:val="003F2D09"/>
    <w:rsid w:val="003F513A"/>
    <w:rsid w:val="003F594F"/>
    <w:rsid w:val="003F5EF2"/>
    <w:rsid w:val="003F6F85"/>
    <w:rsid w:val="00400974"/>
    <w:rsid w:val="00402222"/>
    <w:rsid w:val="00402C55"/>
    <w:rsid w:val="004115AB"/>
    <w:rsid w:val="00414685"/>
    <w:rsid w:val="0042088E"/>
    <w:rsid w:val="00423014"/>
    <w:rsid w:val="00423058"/>
    <w:rsid w:val="0043057B"/>
    <w:rsid w:val="0043067C"/>
    <w:rsid w:val="004330BA"/>
    <w:rsid w:val="00435CBE"/>
    <w:rsid w:val="00436592"/>
    <w:rsid w:val="0043775E"/>
    <w:rsid w:val="00445EA6"/>
    <w:rsid w:val="00446C1F"/>
    <w:rsid w:val="004530D3"/>
    <w:rsid w:val="00454B81"/>
    <w:rsid w:val="004567BF"/>
    <w:rsid w:val="00460CB0"/>
    <w:rsid w:val="004639AB"/>
    <w:rsid w:val="00467FB4"/>
    <w:rsid w:val="00470D33"/>
    <w:rsid w:val="00470E1C"/>
    <w:rsid w:val="00473A81"/>
    <w:rsid w:val="0047483F"/>
    <w:rsid w:val="00490216"/>
    <w:rsid w:val="00491566"/>
    <w:rsid w:val="00491626"/>
    <w:rsid w:val="004A6BD0"/>
    <w:rsid w:val="004A72A7"/>
    <w:rsid w:val="004B0C12"/>
    <w:rsid w:val="004B4E1E"/>
    <w:rsid w:val="004BE530"/>
    <w:rsid w:val="004C0FF3"/>
    <w:rsid w:val="004C2748"/>
    <w:rsid w:val="004C2889"/>
    <w:rsid w:val="004D08A2"/>
    <w:rsid w:val="004D1339"/>
    <w:rsid w:val="004D4D2E"/>
    <w:rsid w:val="004D7EFD"/>
    <w:rsid w:val="004E026B"/>
    <w:rsid w:val="004E2353"/>
    <w:rsid w:val="004E23ED"/>
    <w:rsid w:val="004E39E8"/>
    <w:rsid w:val="004E72BF"/>
    <w:rsid w:val="004F2214"/>
    <w:rsid w:val="004F6103"/>
    <w:rsid w:val="004F7745"/>
    <w:rsid w:val="00503877"/>
    <w:rsid w:val="005053C3"/>
    <w:rsid w:val="00507347"/>
    <w:rsid w:val="00507F6F"/>
    <w:rsid w:val="0051277B"/>
    <w:rsid w:val="00513DD9"/>
    <w:rsid w:val="005161F7"/>
    <w:rsid w:val="00522142"/>
    <w:rsid w:val="005222DA"/>
    <w:rsid w:val="005234B2"/>
    <w:rsid w:val="005252D5"/>
    <w:rsid w:val="00526C68"/>
    <w:rsid w:val="005329C9"/>
    <w:rsid w:val="00533F36"/>
    <w:rsid w:val="005348A3"/>
    <w:rsid w:val="00534F67"/>
    <w:rsid w:val="00535AEE"/>
    <w:rsid w:val="00536A26"/>
    <w:rsid w:val="005372BA"/>
    <w:rsid w:val="00543E39"/>
    <w:rsid w:val="00545EA0"/>
    <w:rsid w:val="00546139"/>
    <w:rsid w:val="00547197"/>
    <w:rsid w:val="00550A29"/>
    <w:rsid w:val="00551A42"/>
    <w:rsid w:val="00552D28"/>
    <w:rsid w:val="0055554D"/>
    <w:rsid w:val="00555B89"/>
    <w:rsid w:val="00556E0F"/>
    <w:rsid w:val="005571C1"/>
    <w:rsid w:val="00560E35"/>
    <w:rsid w:val="00563BFA"/>
    <w:rsid w:val="005645A8"/>
    <w:rsid w:val="00567B4C"/>
    <w:rsid w:val="00574314"/>
    <w:rsid w:val="00576C42"/>
    <w:rsid w:val="005844C8"/>
    <w:rsid w:val="00586076"/>
    <w:rsid w:val="00590E4B"/>
    <w:rsid w:val="00591B2D"/>
    <w:rsid w:val="005939BC"/>
    <w:rsid w:val="00594FFD"/>
    <w:rsid w:val="005969A1"/>
    <w:rsid w:val="005971E9"/>
    <w:rsid w:val="005A20B3"/>
    <w:rsid w:val="005A485C"/>
    <w:rsid w:val="005A4DC0"/>
    <w:rsid w:val="005A4DD2"/>
    <w:rsid w:val="005A796B"/>
    <w:rsid w:val="005A79A0"/>
    <w:rsid w:val="005B34B2"/>
    <w:rsid w:val="005B4D00"/>
    <w:rsid w:val="005B598C"/>
    <w:rsid w:val="005B5DF9"/>
    <w:rsid w:val="005B68BF"/>
    <w:rsid w:val="005B713A"/>
    <w:rsid w:val="005C0FEB"/>
    <w:rsid w:val="005C23E4"/>
    <w:rsid w:val="005C619F"/>
    <w:rsid w:val="005C7C51"/>
    <w:rsid w:val="005D1E2F"/>
    <w:rsid w:val="005D52A7"/>
    <w:rsid w:val="005D7EC2"/>
    <w:rsid w:val="005E0BF5"/>
    <w:rsid w:val="005E33E4"/>
    <w:rsid w:val="005E61BF"/>
    <w:rsid w:val="005F2B57"/>
    <w:rsid w:val="005F3A63"/>
    <w:rsid w:val="005F4DFB"/>
    <w:rsid w:val="005F62ED"/>
    <w:rsid w:val="005F66DF"/>
    <w:rsid w:val="00600724"/>
    <w:rsid w:val="006009A0"/>
    <w:rsid w:val="006014E1"/>
    <w:rsid w:val="00610BC2"/>
    <w:rsid w:val="00611AE6"/>
    <w:rsid w:val="00613D98"/>
    <w:rsid w:val="00622DE3"/>
    <w:rsid w:val="006243B9"/>
    <w:rsid w:val="00624BA6"/>
    <w:rsid w:val="006250E5"/>
    <w:rsid w:val="00625226"/>
    <w:rsid w:val="006257E2"/>
    <w:rsid w:val="006307A8"/>
    <w:rsid w:val="006319B4"/>
    <w:rsid w:val="006326D6"/>
    <w:rsid w:val="00633EE9"/>
    <w:rsid w:val="00636522"/>
    <w:rsid w:val="006367F8"/>
    <w:rsid w:val="006374A1"/>
    <w:rsid w:val="006425BB"/>
    <w:rsid w:val="00642EB6"/>
    <w:rsid w:val="0064403E"/>
    <w:rsid w:val="00646702"/>
    <w:rsid w:val="0065244A"/>
    <w:rsid w:val="006540D1"/>
    <w:rsid w:val="00655C86"/>
    <w:rsid w:val="00664294"/>
    <w:rsid w:val="00664F48"/>
    <w:rsid w:val="006668A7"/>
    <w:rsid w:val="0066D532"/>
    <w:rsid w:val="006703A5"/>
    <w:rsid w:val="006709D4"/>
    <w:rsid w:val="00672C4F"/>
    <w:rsid w:val="00680B1D"/>
    <w:rsid w:val="00680FAC"/>
    <w:rsid w:val="006814F5"/>
    <w:rsid w:val="00681EA9"/>
    <w:rsid w:val="00690083"/>
    <w:rsid w:val="00691400"/>
    <w:rsid w:val="006979EF"/>
    <w:rsid w:val="006A4E9C"/>
    <w:rsid w:val="006A6840"/>
    <w:rsid w:val="006A72C9"/>
    <w:rsid w:val="006B21DA"/>
    <w:rsid w:val="006B2722"/>
    <w:rsid w:val="006B4299"/>
    <w:rsid w:val="006B4B64"/>
    <w:rsid w:val="006B6FA9"/>
    <w:rsid w:val="006C0395"/>
    <w:rsid w:val="006C19D9"/>
    <w:rsid w:val="006C27E3"/>
    <w:rsid w:val="006C29FE"/>
    <w:rsid w:val="006C47F4"/>
    <w:rsid w:val="006C4EB4"/>
    <w:rsid w:val="006C6CBA"/>
    <w:rsid w:val="006C7DB4"/>
    <w:rsid w:val="006C7FBF"/>
    <w:rsid w:val="006D1981"/>
    <w:rsid w:val="006D45C2"/>
    <w:rsid w:val="006D5811"/>
    <w:rsid w:val="006D7FEA"/>
    <w:rsid w:val="006E3C5D"/>
    <w:rsid w:val="006E4CA7"/>
    <w:rsid w:val="006E6B16"/>
    <w:rsid w:val="006F228B"/>
    <w:rsid w:val="006F2AE6"/>
    <w:rsid w:val="006F31A1"/>
    <w:rsid w:val="006F605B"/>
    <w:rsid w:val="0070046B"/>
    <w:rsid w:val="00704C46"/>
    <w:rsid w:val="00705598"/>
    <w:rsid w:val="00710FF3"/>
    <w:rsid w:val="00712559"/>
    <w:rsid w:val="00712681"/>
    <w:rsid w:val="00712F8C"/>
    <w:rsid w:val="007150D7"/>
    <w:rsid w:val="007157FD"/>
    <w:rsid w:val="00730673"/>
    <w:rsid w:val="00736A8F"/>
    <w:rsid w:val="00736EA7"/>
    <w:rsid w:val="00737917"/>
    <w:rsid w:val="00742837"/>
    <w:rsid w:val="00743525"/>
    <w:rsid w:val="00743D89"/>
    <w:rsid w:val="00744AB6"/>
    <w:rsid w:val="0074528D"/>
    <w:rsid w:val="0075226E"/>
    <w:rsid w:val="00752B75"/>
    <w:rsid w:val="0075762D"/>
    <w:rsid w:val="00760490"/>
    <w:rsid w:val="00760741"/>
    <w:rsid w:val="0076121A"/>
    <w:rsid w:val="0076467F"/>
    <w:rsid w:val="00766C7E"/>
    <w:rsid w:val="00770AED"/>
    <w:rsid w:val="00772114"/>
    <w:rsid w:val="0077508D"/>
    <w:rsid w:val="00777841"/>
    <w:rsid w:val="0078460F"/>
    <w:rsid w:val="00787E1E"/>
    <w:rsid w:val="00790006"/>
    <w:rsid w:val="00792087"/>
    <w:rsid w:val="007939E4"/>
    <w:rsid w:val="007943B7"/>
    <w:rsid w:val="007951B8"/>
    <w:rsid w:val="007A1416"/>
    <w:rsid w:val="007A2165"/>
    <w:rsid w:val="007A2369"/>
    <w:rsid w:val="007A519D"/>
    <w:rsid w:val="007B043A"/>
    <w:rsid w:val="007B067A"/>
    <w:rsid w:val="007B0C16"/>
    <w:rsid w:val="007B5184"/>
    <w:rsid w:val="007B53C9"/>
    <w:rsid w:val="007B58B1"/>
    <w:rsid w:val="007B5CD7"/>
    <w:rsid w:val="007B643C"/>
    <w:rsid w:val="007B7A63"/>
    <w:rsid w:val="007B7E73"/>
    <w:rsid w:val="007BF138"/>
    <w:rsid w:val="007C0633"/>
    <w:rsid w:val="007C1B80"/>
    <w:rsid w:val="007C5427"/>
    <w:rsid w:val="007C631A"/>
    <w:rsid w:val="007D2267"/>
    <w:rsid w:val="007D3396"/>
    <w:rsid w:val="007D3DC5"/>
    <w:rsid w:val="007D4693"/>
    <w:rsid w:val="007D5096"/>
    <w:rsid w:val="007D7DBA"/>
    <w:rsid w:val="007E56B3"/>
    <w:rsid w:val="007E633F"/>
    <w:rsid w:val="007F05B3"/>
    <w:rsid w:val="007F209B"/>
    <w:rsid w:val="007F5874"/>
    <w:rsid w:val="007F65F0"/>
    <w:rsid w:val="008008CF"/>
    <w:rsid w:val="008076AD"/>
    <w:rsid w:val="00807FB1"/>
    <w:rsid w:val="0081026E"/>
    <w:rsid w:val="0081386C"/>
    <w:rsid w:val="00816671"/>
    <w:rsid w:val="00816E94"/>
    <w:rsid w:val="008173C4"/>
    <w:rsid w:val="008215BD"/>
    <w:rsid w:val="00821C8A"/>
    <w:rsid w:val="00827643"/>
    <w:rsid w:val="00832EEA"/>
    <w:rsid w:val="008371CF"/>
    <w:rsid w:val="008379D8"/>
    <w:rsid w:val="00837D20"/>
    <w:rsid w:val="00842A43"/>
    <w:rsid w:val="00844499"/>
    <w:rsid w:val="00850C5C"/>
    <w:rsid w:val="008510C1"/>
    <w:rsid w:val="00852335"/>
    <w:rsid w:val="008525DC"/>
    <w:rsid w:val="0085384B"/>
    <w:rsid w:val="008546C6"/>
    <w:rsid w:val="00854838"/>
    <w:rsid w:val="00855230"/>
    <w:rsid w:val="0085747B"/>
    <w:rsid w:val="008602B8"/>
    <w:rsid w:val="00862D4D"/>
    <w:rsid w:val="008643EB"/>
    <w:rsid w:val="008661BB"/>
    <w:rsid w:val="008667B5"/>
    <w:rsid w:val="00866916"/>
    <w:rsid w:val="00866965"/>
    <w:rsid w:val="00866CD7"/>
    <w:rsid w:val="00866FDD"/>
    <w:rsid w:val="00870C60"/>
    <w:rsid w:val="00871601"/>
    <w:rsid w:val="00872242"/>
    <w:rsid w:val="00872AD2"/>
    <w:rsid w:val="008735B8"/>
    <w:rsid w:val="00875F38"/>
    <w:rsid w:val="008766BD"/>
    <w:rsid w:val="00877236"/>
    <w:rsid w:val="008806A9"/>
    <w:rsid w:val="008809AA"/>
    <w:rsid w:val="008827F7"/>
    <w:rsid w:val="00890369"/>
    <w:rsid w:val="00891D23"/>
    <w:rsid w:val="00891FB5"/>
    <w:rsid w:val="00892B36"/>
    <w:rsid w:val="0089323E"/>
    <w:rsid w:val="0089378F"/>
    <w:rsid w:val="00895302"/>
    <w:rsid w:val="008962A5"/>
    <w:rsid w:val="008964B8"/>
    <w:rsid w:val="008A015F"/>
    <w:rsid w:val="008A6734"/>
    <w:rsid w:val="008A6798"/>
    <w:rsid w:val="008B080D"/>
    <w:rsid w:val="008B13D4"/>
    <w:rsid w:val="008B3F3E"/>
    <w:rsid w:val="008B4721"/>
    <w:rsid w:val="008B47B7"/>
    <w:rsid w:val="008B57A6"/>
    <w:rsid w:val="008B6627"/>
    <w:rsid w:val="008C1D41"/>
    <w:rsid w:val="008C4101"/>
    <w:rsid w:val="008C44F9"/>
    <w:rsid w:val="008C6A46"/>
    <w:rsid w:val="008C77C1"/>
    <w:rsid w:val="008D0704"/>
    <w:rsid w:val="008D0808"/>
    <w:rsid w:val="008D1F7E"/>
    <w:rsid w:val="008D6446"/>
    <w:rsid w:val="008E0882"/>
    <w:rsid w:val="008E5049"/>
    <w:rsid w:val="008E535A"/>
    <w:rsid w:val="008E53A8"/>
    <w:rsid w:val="008E53CB"/>
    <w:rsid w:val="008E5F5A"/>
    <w:rsid w:val="008F2200"/>
    <w:rsid w:val="008F3480"/>
    <w:rsid w:val="008F396E"/>
    <w:rsid w:val="008F3A83"/>
    <w:rsid w:val="008F417A"/>
    <w:rsid w:val="008F44B2"/>
    <w:rsid w:val="008F59C2"/>
    <w:rsid w:val="008F5E78"/>
    <w:rsid w:val="008F61AC"/>
    <w:rsid w:val="008F6FE7"/>
    <w:rsid w:val="00900213"/>
    <w:rsid w:val="00902C79"/>
    <w:rsid w:val="00904032"/>
    <w:rsid w:val="0090761B"/>
    <w:rsid w:val="00914827"/>
    <w:rsid w:val="00916AE8"/>
    <w:rsid w:val="0091722F"/>
    <w:rsid w:val="00920A06"/>
    <w:rsid w:val="00921FB9"/>
    <w:rsid w:val="00924347"/>
    <w:rsid w:val="0092791A"/>
    <w:rsid w:val="00927982"/>
    <w:rsid w:val="00931F17"/>
    <w:rsid w:val="009327CE"/>
    <w:rsid w:val="00932A70"/>
    <w:rsid w:val="0093516B"/>
    <w:rsid w:val="00935F5D"/>
    <w:rsid w:val="00941E4B"/>
    <w:rsid w:val="00942390"/>
    <w:rsid w:val="00947B65"/>
    <w:rsid w:val="00950C7C"/>
    <w:rsid w:val="00953B0E"/>
    <w:rsid w:val="00957062"/>
    <w:rsid w:val="00960540"/>
    <w:rsid w:val="00962B0D"/>
    <w:rsid w:val="009638CE"/>
    <w:rsid w:val="00964FAD"/>
    <w:rsid w:val="00965054"/>
    <w:rsid w:val="00967418"/>
    <w:rsid w:val="00970B56"/>
    <w:rsid w:val="0097219B"/>
    <w:rsid w:val="009730C4"/>
    <w:rsid w:val="00975A28"/>
    <w:rsid w:val="00975B2E"/>
    <w:rsid w:val="009778AE"/>
    <w:rsid w:val="009803F5"/>
    <w:rsid w:val="00984CED"/>
    <w:rsid w:val="00986D4B"/>
    <w:rsid w:val="00989682"/>
    <w:rsid w:val="0098FA64"/>
    <w:rsid w:val="0099257B"/>
    <w:rsid w:val="00992EFC"/>
    <w:rsid w:val="00996C88"/>
    <w:rsid w:val="00996F92"/>
    <w:rsid w:val="009A2314"/>
    <w:rsid w:val="009A28D9"/>
    <w:rsid w:val="009A320F"/>
    <w:rsid w:val="009A449F"/>
    <w:rsid w:val="009A4C0E"/>
    <w:rsid w:val="009B0B84"/>
    <w:rsid w:val="009C13FD"/>
    <w:rsid w:val="009C70C3"/>
    <w:rsid w:val="009D0DE0"/>
    <w:rsid w:val="009D4613"/>
    <w:rsid w:val="009D4BD4"/>
    <w:rsid w:val="009D5143"/>
    <w:rsid w:val="009D54BB"/>
    <w:rsid w:val="009D5730"/>
    <w:rsid w:val="009D6094"/>
    <w:rsid w:val="009D6EF0"/>
    <w:rsid w:val="009E0635"/>
    <w:rsid w:val="009E0EAB"/>
    <w:rsid w:val="009E1F53"/>
    <w:rsid w:val="009F17C7"/>
    <w:rsid w:val="009F31BE"/>
    <w:rsid w:val="009F5ADB"/>
    <w:rsid w:val="009F7EE6"/>
    <w:rsid w:val="00A01EFF"/>
    <w:rsid w:val="00A032B5"/>
    <w:rsid w:val="00A03E23"/>
    <w:rsid w:val="00A066D4"/>
    <w:rsid w:val="00A0718F"/>
    <w:rsid w:val="00A07F0D"/>
    <w:rsid w:val="00A12134"/>
    <w:rsid w:val="00A14C8B"/>
    <w:rsid w:val="00A17878"/>
    <w:rsid w:val="00A2064E"/>
    <w:rsid w:val="00A21921"/>
    <w:rsid w:val="00A26BE5"/>
    <w:rsid w:val="00A32557"/>
    <w:rsid w:val="00A33BFC"/>
    <w:rsid w:val="00A33CE8"/>
    <w:rsid w:val="00A378E1"/>
    <w:rsid w:val="00A40CFC"/>
    <w:rsid w:val="00A43CF2"/>
    <w:rsid w:val="00A453E2"/>
    <w:rsid w:val="00A45868"/>
    <w:rsid w:val="00A460B2"/>
    <w:rsid w:val="00A52329"/>
    <w:rsid w:val="00A526BA"/>
    <w:rsid w:val="00A52B9B"/>
    <w:rsid w:val="00A54116"/>
    <w:rsid w:val="00A5718B"/>
    <w:rsid w:val="00A62687"/>
    <w:rsid w:val="00A6313B"/>
    <w:rsid w:val="00A64A8F"/>
    <w:rsid w:val="00A65B00"/>
    <w:rsid w:val="00A70793"/>
    <w:rsid w:val="00A70A16"/>
    <w:rsid w:val="00A71160"/>
    <w:rsid w:val="00A73DE0"/>
    <w:rsid w:val="00A76E30"/>
    <w:rsid w:val="00A8299E"/>
    <w:rsid w:val="00A832FC"/>
    <w:rsid w:val="00A85661"/>
    <w:rsid w:val="00A860E6"/>
    <w:rsid w:val="00A96291"/>
    <w:rsid w:val="00A9682E"/>
    <w:rsid w:val="00A97FF7"/>
    <w:rsid w:val="00AA1D77"/>
    <w:rsid w:val="00AA60E3"/>
    <w:rsid w:val="00AB465A"/>
    <w:rsid w:val="00AC1FC3"/>
    <w:rsid w:val="00AC3ED7"/>
    <w:rsid w:val="00AC6537"/>
    <w:rsid w:val="00AC7DED"/>
    <w:rsid w:val="00AD16C9"/>
    <w:rsid w:val="00AD1F78"/>
    <w:rsid w:val="00AD2465"/>
    <w:rsid w:val="00AD4A90"/>
    <w:rsid w:val="00AD6244"/>
    <w:rsid w:val="00AD6666"/>
    <w:rsid w:val="00AE53D6"/>
    <w:rsid w:val="00AE59E5"/>
    <w:rsid w:val="00AE5DA0"/>
    <w:rsid w:val="00AE5E55"/>
    <w:rsid w:val="00AE69F7"/>
    <w:rsid w:val="00AF3E09"/>
    <w:rsid w:val="00AF41F6"/>
    <w:rsid w:val="00AF7EEF"/>
    <w:rsid w:val="00B018DC"/>
    <w:rsid w:val="00B019DE"/>
    <w:rsid w:val="00B03114"/>
    <w:rsid w:val="00B05473"/>
    <w:rsid w:val="00B16919"/>
    <w:rsid w:val="00B23A58"/>
    <w:rsid w:val="00B23C54"/>
    <w:rsid w:val="00B315A1"/>
    <w:rsid w:val="00B3533B"/>
    <w:rsid w:val="00B3716E"/>
    <w:rsid w:val="00B40A15"/>
    <w:rsid w:val="00B40E7A"/>
    <w:rsid w:val="00B423AB"/>
    <w:rsid w:val="00B434E4"/>
    <w:rsid w:val="00B441F5"/>
    <w:rsid w:val="00B44E6E"/>
    <w:rsid w:val="00B4649E"/>
    <w:rsid w:val="00B46818"/>
    <w:rsid w:val="00B472DA"/>
    <w:rsid w:val="00B52D56"/>
    <w:rsid w:val="00B53141"/>
    <w:rsid w:val="00B54623"/>
    <w:rsid w:val="00B56FBE"/>
    <w:rsid w:val="00B6285E"/>
    <w:rsid w:val="00B63F28"/>
    <w:rsid w:val="00B6531C"/>
    <w:rsid w:val="00B65B27"/>
    <w:rsid w:val="00B67847"/>
    <w:rsid w:val="00B7566F"/>
    <w:rsid w:val="00B82638"/>
    <w:rsid w:val="00B8387B"/>
    <w:rsid w:val="00B84D29"/>
    <w:rsid w:val="00B859E2"/>
    <w:rsid w:val="00B950B5"/>
    <w:rsid w:val="00B97CB4"/>
    <w:rsid w:val="00BA7723"/>
    <w:rsid w:val="00BA7F0E"/>
    <w:rsid w:val="00BB0636"/>
    <w:rsid w:val="00BB0D6A"/>
    <w:rsid w:val="00BB2595"/>
    <w:rsid w:val="00BB2688"/>
    <w:rsid w:val="00BB4F31"/>
    <w:rsid w:val="00BC23C8"/>
    <w:rsid w:val="00BC65F8"/>
    <w:rsid w:val="00BD17E4"/>
    <w:rsid w:val="00BD5C8D"/>
    <w:rsid w:val="00BD7121"/>
    <w:rsid w:val="00BE2389"/>
    <w:rsid w:val="00BE501C"/>
    <w:rsid w:val="00BF23D9"/>
    <w:rsid w:val="00BF23EF"/>
    <w:rsid w:val="00BF34C1"/>
    <w:rsid w:val="00BF3A40"/>
    <w:rsid w:val="00BF6A6C"/>
    <w:rsid w:val="00C10107"/>
    <w:rsid w:val="00C119F6"/>
    <w:rsid w:val="00C12FA2"/>
    <w:rsid w:val="00C134D5"/>
    <w:rsid w:val="00C14FA2"/>
    <w:rsid w:val="00C156BC"/>
    <w:rsid w:val="00C157DD"/>
    <w:rsid w:val="00C159A8"/>
    <w:rsid w:val="00C167EC"/>
    <w:rsid w:val="00C21D99"/>
    <w:rsid w:val="00C22478"/>
    <w:rsid w:val="00C236B2"/>
    <w:rsid w:val="00C2496D"/>
    <w:rsid w:val="00C24A80"/>
    <w:rsid w:val="00C25B8F"/>
    <w:rsid w:val="00C27105"/>
    <w:rsid w:val="00C274A7"/>
    <w:rsid w:val="00C30917"/>
    <w:rsid w:val="00C343BF"/>
    <w:rsid w:val="00C3440F"/>
    <w:rsid w:val="00C36E4D"/>
    <w:rsid w:val="00C401A3"/>
    <w:rsid w:val="00C4218B"/>
    <w:rsid w:val="00C423E4"/>
    <w:rsid w:val="00C428DA"/>
    <w:rsid w:val="00C42FC7"/>
    <w:rsid w:val="00C5014D"/>
    <w:rsid w:val="00C50D54"/>
    <w:rsid w:val="00C55C7B"/>
    <w:rsid w:val="00C55F25"/>
    <w:rsid w:val="00C609C0"/>
    <w:rsid w:val="00C650B2"/>
    <w:rsid w:val="00C65BA5"/>
    <w:rsid w:val="00C65D08"/>
    <w:rsid w:val="00C66B1B"/>
    <w:rsid w:val="00C66F29"/>
    <w:rsid w:val="00C67BAC"/>
    <w:rsid w:val="00C721DD"/>
    <w:rsid w:val="00C73F6E"/>
    <w:rsid w:val="00C756CD"/>
    <w:rsid w:val="00C75AA6"/>
    <w:rsid w:val="00C859BD"/>
    <w:rsid w:val="00C871FA"/>
    <w:rsid w:val="00C911AC"/>
    <w:rsid w:val="00C926BA"/>
    <w:rsid w:val="00C95F9A"/>
    <w:rsid w:val="00CA03B2"/>
    <w:rsid w:val="00CA0C16"/>
    <w:rsid w:val="00CA358C"/>
    <w:rsid w:val="00CA582F"/>
    <w:rsid w:val="00CB6D59"/>
    <w:rsid w:val="00CB71F0"/>
    <w:rsid w:val="00CC2A81"/>
    <w:rsid w:val="00CC71A3"/>
    <w:rsid w:val="00CD3AB1"/>
    <w:rsid w:val="00CD7BE0"/>
    <w:rsid w:val="00CE2028"/>
    <w:rsid w:val="00CE38BF"/>
    <w:rsid w:val="00CE4348"/>
    <w:rsid w:val="00D00857"/>
    <w:rsid w:val="00D05DE5"/>
    <w:rsid w:val="00D14623"/>
    <w:rsid w:val="00D16126"/>
    <w:rsid w:val="00D207DA"/>
    <w:rsid w:val="00D26A2B"/>
    <w:rsid w:val="00D27D58"/>
    <w:rsid w:val="00D320F1"/>
    <w:rsid w:val="00D32878"/>
    <w:rsid w:val="00D33DC2"/>
    <w:rsid w:val="00D34438"/>
    <w:rsid w:val="00D376BB"/>
    <w:rsid w:val="00D41A85"/>
    <w:rsid w:val="00D43D59"/>
    <w:rsid w:val="00D460FB"/>
    <w:rsid w:val="00D46E9F"/>
    <w:rsid w:val="00D474BD"/>
    <w:rsid w:val="00D47C69"/>
    <w:rsid w:val="00D505C6"/>
    <w:rsid w:val="00D50BCB"/>
    <w:rsid w:val="00D51C9D"/>
    <w:rsid w:val="00D51EFC"/>
    <w:rsid w:val="00D52B74"/>
    <w:rsid w:val="00D53855"/>
    <w:rsid w:val="00D53F8A"/>
    <w:rsid w:val="00D54144"/>
    <w:rsid w:val="00D56486"/>
    <w:rsid w:val="00D6455C"/>
    <w:rsid w:val="00D652AF"/>
    <w:rsid w:val="00D73C9D"/>
    <w:rsid w:val="00D80607"/>
    <w:rsid w:val="00D8391E"/>
    <w:rsid w:val="00D84CAD"/>
    <w:rsid w:val="00D85A29"/>
    <w:rsid w:val="00D85CBC"/>
    <w:rsid w:val="00D86EF7"/>
    <w:rsid w:val="00D9062C"/>
    <w:rsid w:val="00D90CA6"/>
    <w:rsid w:val="00D93D27"/>
    <w:rsid w:val="00D97B9C"/>
    <w:rsid w:val="00DA3520"/>
    <w:rsid w:val="00DA5861"/>
    <w:rsid w:val="00DA72DA"/>
    <w:rsid w:val="00DA79F9"/>
    <w:rsid w:val="00DB1F4D"/>
    <w:rsid w:val="00DB5532"/>
    <w:rsid w:val="00DB6490"/>
    <w:rsid w:val="00DC17E0"/>
    <w:rsid w:val="00DC5193"/>
    <w:rsid w:val="00DC7ECC"/>
    <w:rsid w:val="00DD341C"/>
    <w:rsid w:val="00DD52EF"/>
    <w:rsid w:val="00DD6385"/>
    <w:rsid w:val="00DE1040"/>
    <w:rsid w:val="00DE15C2"/>
    <w:rsid w:val="00DE2FBD"/>
    <w:rsid w:val="00DE35F2"/>
    <w:rsid w:val="00DE4BE7"/>
    <w:rsid w:val="00DE5C12"/>
    <w:rsid w:val="00DE6E8D"/>
    <w:rsid w:val="00DF1685"/>
    <w:rsid w:val="00DF2BB8"/>
    <w:rsid w:val="00DF2CB9"/>
    <w:rsid w:val="00DF71C8"/>
    <w:rsid w:val="00E0189A"/>
    <w:rsid w:val="00E054C1"/>
    <w:rsid w:val="00E07034"/>
    <w:rsid w:val="00E13112"/>
    <w:rsid w:val="00E20AD1"/>
    <w:rsid w:val="00E22CD5"/>
    <w:rsid w:val="00E24CD6"/>
    <w:rsid w:val="00E25302"/>
    <w:rsid w:val="00E25484"/>
    <w:rsid w:val="00E271F4"/>
    <w:rsid w:val="00E27449"/>
    <w:rsid w:val="00E326C3"/>
    <w:rsid w:val="00E341D7"/>
    <w:rsid w:val="00E35671"/>
    <w:rsid w:val="00E358F3"/>
    <w:rsid w:val="00E425F9"/>
    <w:rsid w:val="00E42ED4"/>
    <w:rsid w:val="00E4440B"/>
    <w:rsid w:val="00E457F5"/>
    <w:rsid w:val="00E54852"/>
    <w:rsid w:val="00E55CF1"/>
    <w:rsid w:val="00E55F8D"/>
    <w:rsid w:val="00E56A5B"/>
    <w:rsid w:val="00E62CF6"/>
    <w:rsid w:val="00E630E8"/>
    <w:rsid w:val="00E641A3"/>
    <w:rsid w:val="00E67049"/>
    <w:rsid w:val="00E71E49"/>
    <w:rsid w:val="00E72203"/>
    <w:rsid w:val="00E724E1"/>
    <w:rsid w:val="00E7281B"/>
    <w:rsid w:val="00E740E7"/>
    <w:rsid w:val="00E74698"/>
    <w:rsid w:val="00E74E45"/>
    <w:rsid w:val="00E74F3D"/>
    <w:rsid w:val="00E802B9"/>
    <w:rsid w:val="00E812BA"/>
    <w:rsid w:val="00E81D8B"/>
    <w:rsid w:val="00E86798"/>
    <w:rsid w:val="00E93692"/>
    <w:rsid w:val="00EA0A6C"/>
    <w:rsid w:val="00EA16C1"/>
    <w:rsid w:val="00EA18B7"/>
    <w:rsid w:val="00EA4242"/>
    <w:rsid w:val="00EA694B"/>
    <w:rsid w:val="00EA6FA4"/>
    <w:rsid w:val="00EB5AFB"/>
    <w:rsid w:val="00EB7231"/>
    <w:rsid w:val="00EC0666"/>
    <w:rsid w:val="00EC1699"/>
    <w:rsid w:val="00EC22D6"/>
    <w:rsid w:val="00EC3E6F"/>
    <w:rsid w:val="00EC5F5F"/>
    <w:rsid w:val="00EC6B03"/>
    <w:rsid w:val="00ED0EEC"/>
    <w:rsid w:val="00ED352C"/>
    <w:rsid w:val="00ED532F"/>
    <w:rsid w:val="00ED6855"/>
    <w:rsid w:val="00ED7B6B"/>
    <w:rsid w:val="00ED7F31"/>
    <w:rsid w:val="00EE2CBB"/>
    <w:rsid w:val="00EE76B6"/>
    <w:rsid w:val="00EF18D6"/>
    <w:rsid w:val="00EF1FDC"/>
    <w:rsid w:val="00EF2B4C"/>
    <w:rsid w:val="00EF30EF"/>
    <w:rsid w:val="00EF4FE3"/>
    <w:rsid w:val="00F008E6"/>
    <w:rsid w:val="00F03906"/>
    <w:rsid w:val="00F05C41"/>
    <w:rsid w:val="00F0B64A"/>
    <w:rsid w:val="00F0E560"/>
    <w:rsid w:val="00F14FEF"/>
    <w:rsid w:val="00F16451"/>
    <w:rsid w:val="00F17734"/>
    <w:rsid w:val="00F21886"/>
    <w:rsid w:val="00F311A7"/>
    <w:rsid w:val="00F330A8"/>
    <w:rsid w:val="00F34705"/>
    <w:rsid w:val="00F4085A"/>
    <w:rsid w:val="00F40C73"/>
    <w:rsid w:val="00F41993"/>
    <w:rsid w:val="00F42BB0"/>
    <w:rsid w:val="00F46CC9"/>
    <w:rsid w:val="00F5069E"/>
    <w:rsid w:val="00F51CEB"/>
    <w:rsid w:val="00F52812"/>
    <w:rsid w:val="00F54210"/>
    <w:rsid w:val="00F56001"/>
    <w:rsid w:val="00F62CA8"/>
    <w:rsid w:val="00F64C80"/>
    <w:rsid w:val="00F661D5"/>
    <w:rsid w:val="00F746FB"/>
    <w:rsid w:val="00F7703A"/>
    <w:rsid w:val="00F79F01"/>
    <w:rsid w:val="00F81694"/>
    <w:rsid w:val="00F818D4"/>
    <w:rsid w:val="00F834C3"/>
    <w:rsid w:val="00F85BAE"/>
    <w:rsid w:val="00F863A7"/>
    <w:rsid w:val="00F9250A"/>
    <w:rsid w:val="00F939DF"/>
    <w:rsid w:val="00F93EF7"/>
    <w:rsid w:val="00F9A8C1"/>
    <w:rsid w:val="00FA21D3"/>
    <w:rsid w:val="00FA2A79"/>
    <w:rsid w:val="00FA665F"/>
    <w:rsid w:val="00FB20F3"/>
    <w:rsid w:val="00FB2B45"/>
    <w:rsid w:val="00FB4BB1"/>
    <w:rsid w:val="00FC00C6"/>
    <w:rsid w:val="00FC1BD7"/>
    <w:rsid w:val="00FC3717"/>
    <w:rsid w:val="00FC710A"/>
    <w:rsid w:val="00FD122C"/>
    <w:rsid w:val="00FD2E0B"/>
    <w:rsid w:val="00FD2EA6"/>
    <w:rsid w:val="00FD4916"/>
    <w:rsid w:val="00FD79FA"/>
    <w:rsid w:val="00FE69D5"/>
    <w:rsid w:val="00FF07E0"/>
    <w:rsid w:val="00FF201E"/>
    <w:rsid w:val="00FF4306"/>
    <w:rsid w:val="00FF5EDE"/>
    <w:rsid w:val="00FF62B6"/>
    <w:rsid w:val="01043581"/>
    <w:rsid w:val="0104AE67"/>
    <w:rsid w:val="0125C6CD"/>
    <w:rsid w:val="013BB284"/>
    <w:rsid w:val="013D0D23"/>
    <w:rsid w:val="01500102"/>
    <w:rsid w:val="0151730A"/>
    <w:rsid w:val="015EF8F6"/>
    <w:rsid w:val="01678514"/>
    <w:rsid w:val="0173C718"/>
    <w:rsid w:val="0183D629"/>
    <w:rsid w:val="018E7F89"/>
    <w:rsid w:val="01996861"/>
    <w:rsid w:val="0199B65E"/>
    <w:rsid w:val="01AC34F5"/>
    <w:rsid w:val="01B75102"/>
    <w:rsid w:val="01BCED91"/>
    <w:rsid w:val="01C38761"/>
    <w:rsid w:val="01D72D0E"/>
    <w:rsid w:val="01DB1997"/>
    <w:rsid w:val="01EA5A0B"/>
    <w:rsid w:val="01EDD946"/>
    <w:rsid w:val="01F106B6"/>
    <w:rsid w:val="02005D5C"/>
    <w:rsid w:val="0204E5B3"/>
    <w:rsid w:val="020C6CA8"/>
    <w:rsid w:val="022631F4"/>
    <w:rsid w:val="02281A3D"/>
    <w:rsid w:val="022D64FF"/>
    <w:rsid w:val="022F5521"/>
    <w:rsid w:val="0232A11E"/>
    <w:rsid w:val="0237924B"/>
    <w:rsid w:val="023AFC7E"/>
    <w:rsid w:val="025D8DD9"/>
    <w:rsid w:val="0272FF01"/>
    <w:rsid w:val="0284CC11"/>
    <w:rsid w:val="02972704"/>
    <w:rsid w:val="029A82A2"/>
    <w:rsid w:val="02A53517"/>
    <w:rsid w:val="02A9EC92"/>
    <w:rsid w:val="02B311FC"/>
    <w:rsid w:val="02B3152F"/>
    <w:rsid w:val="02C12466"/>
    <w:rsid w:val="02C3EA0D"/>
    <w:rsid w:val="02CCD176"/>
    <w:rsid w:val="02DF1219"/>
    <w:rsid w:val="02F64298"/>
    <w:rsid w:val="02F92F33"/>
    <w:rsid w:val="02FACCC1"/>
    <w:rsid w:val="03033652"/>
    <w:rsid w:val="0305379F"/>
    <w:rsid w:val="03120EBF"/>
    <w:rsid w:val="03231E1A"/>
    <w:rsid w:val="0327A7FA"/>
    <w:rsid w:val="03301248"/>
    <w:rsid w:val="0333C181"/>
    <w:rsid w:val="033A0A7F"/>
    <w:rsid w:val="03551B9F"/>
    <w:rsid w:val="035654E1"/>
    <w:rsid w:val="035B2FC0"/>
    <w:rsid w:val="036482D2"/>
    <w:rsid w:val="03857844"/>
    <w:rsid w:val="03882287"/>
    <w:rsid w:val="03A444B3"/>
    <w:rsid w:val="03C682F5"/>
    <w:rsid w:val="03C9CFDD"/>
    <w:rsid w:val="03CDCEA2"/>
    <w:rsid w:val="03CEE68A"/>
    <w:rsid w:val="03CF6EA4"/>
    <w:rsid w:val="03D3DF17"/>
    <w:rsid w:val="03D68476"/>
    <w:rsid w:val="03D942A3"/>
    <w:rsid w:val="03DE82CA"/>
    <w:rsid w:val="03EA82AD"/>
    <w:rsid w:val="03F1B9F3"/>
    <w:rsid w:val="03F1D1B3"/>
    <w:rsid w:val="03F9913D"/>
    <w:rsid w:val="03FB1F04"/>
    <w:rsid w:val="03FCB4C1"/>
    <w:rsid w:val="04021180"/>
    <w:rsid w:val="041067F8"/>
    <w:rsid w:val="0416253B"/>
    <w:rsid w:val="04330933"/>
    <w:rsid w:val="043FB864"/>
    <w:rsid w:val="0451E1E5"/>
    <w:rsid w:val="0456FF8B"/>
    <w:rsid w:val="04604779"/>
    <w:rsid w:val="04629588"/>
    <w:rsid w:val="04669B93"/>
    <w:rsid w:val="048CF7E1"/>
    <w:rsid w:val="04943658"/>
    <w:rsid w:val="049DCDB1"/>
    <w:rsid w:val="04A1D17D"/>
    <w:rsid w:val="04A843A8"/>
    <w:rsid w:val="04AC468A"/>
    <w:rsid w:val="04B03ABF"/>
    <w:rsid w:val="04CA5F72"/>
    <w:rsid w:val="04D0F453"/>
    <w:rsid w:val="04DB46B5"/>
    <w:rsid w:val="04E2B3E4"/>
    <w:rsid w:val="04E90D91"/>
    <w:rsid w:val="04F63104"/>
    <w:rsid w:val="04F80376"/>
    <w:rsid w:val="04FF4CA7"/>
    <w:rsid w:val="0509DFDD"/>
    <w:rsid w:val="050CE139"/>
    <w:rsid w:val="05301098"/>
    <w:rsid w:val="0534F959"/>
    <w:rsid w:val="0543CEFE"/>
    <w:rsid w:val="054982FE"/>
    <w:rsid w:val="054B8E73"/>
    <w:rsid w:val="05526EB4"/>
    <w:rsid w:val="055E245A"/>
    <w:rsid w:val="05622F0A"/>
    <w:rsid w:val="056B9C51"/>
    <w:rsid w:val="0575407D"/>
    <w:rsid w:val="058703B8"/>
    <w:rsid w:val="0593533C"/>
    <w:rsid w:val="05B291A9"/>
    <w:rsid w:val="05B81647"/>
    <w:rsid w:val="05BA8684"/>
    <w:rsid w:val="05E00B8C"/>
    <w:rsid w:val="05E793B9"/>
    <w:rsid w:val="05E9F5F4"/>
    <w:rsid w:val="05ECDFEB"/>
    <w:rsid w:val="05F2032F"/>
    <w:rsid w:val="05FCD909"/>
    <w:rsid w:val="06028C1B"/>
    <w:rsid w:val="060B8073"/>
    <w:rsid w:val="060CA295"/>
    <w:rsid w:val="0623EA42"/>
    <w:rsid w:val="0629F1AE"/>
    <w:rsid w:val="062DD03D"/>
    <w:rsid w:val="062EA38F"/>
    <w:rsid w:val="063AB683"/>
    <w:rsid w:val="0646818B"/>
    <w:rsid w:val="0649AD66"/>
    <w:rsid w:val="065228D3"/>
    <w:rsid w:val="065BB594"/>
    <w:rsid w:val="065D2A27"/>
    <w:rsid w:val="0668B35F"/>
    <w:rsid w:val="06692D0C"/>
    <w:rsid w:val="066BB5DD"/>
    <w:rsid w:val="068B2D43"/>
    <w:rsid w:val="06958B4C"/>
    <w:rsid w:val="06971DA3"/>
    <w:rsid w:val="06A5A5BA"/>
    <w:rsid w:val="06AD187D"/>
    <w:rsid w:val="06C72D8D"/>
    <w:rsid w:val="06CDC961"/>
    <w:rsid w:val="06D4C5BB"/>
    <w:rsid w:val="06DC2B74"/>
    <w:rsid w:val="0728B8EA"/>
    <w:rsid w:val="072FBCDE"/>
    <w:rsid w:val="0738CA6D"/>
    <w:rsid w:val="074B52D0"/>
    <w:rsid w:val="074DF537"/>
    <w:rsid w:val="0759B12A"/>
    <w:rsid w:val="07649742"/>
    <w:rsid w:val="0766FBCC"/>
    <w:rsid w:val="077E422E"/>
    <w:rsid w:val="077FD951"/>
    <w:rsid w:val="078E64A2"/>
    <w:rsid w:val="07A3EAB0"/>
    <w:rsid w:val="07AD0262"/>
    <w:rsid w:val="07B1F800"/>
    <w:rsid w:val="07C16BD6"/>
    <w:rsid w:val="07C582F6"/>
    <w:rsid w:val="07C7CAA8"/>
    <w:rsid w:val="07C9F141"/>
    <w:rsid w:val="07E2642E"/>
    <w:rsid w:val="07FC14A0"/>
    <w:rsid w:val="0802C175"/>
    <w:rsid w:val="0804EC5A"/>
    <w:rsid w:val="0822410D"/>
    <w:rsid w:val="0826E2FC"/>
    <w:rsid w:val="08276B0C"/>
    <w:rsid w:val="0849C894"/>
    <w:rsid w:val="08508A3E"/>
    <w:rsid w:val="085A84F6"/>
    <w:rsid w:val="0869776E"/>
    <w:rsid w:val="086A70BD"/>
    <w:rsid w:val="087442D1"/>
    <w:rsid w:val="08852BDF"/>
    <w:rsid w:val="088FCD7E"/>
    <w:rsid w:val="08981B72"/>
    <w:rsid w:val="08A24F13"/>
    <w:rsid w:val="08A2FCA0"/>
    <w:rsid w:val="08C10828"/>
    <w:rsid w:val="08C3C2F3"/>
    <w:rsid w:val="08D1BCF3"/>
    <w:rsid w:val="08F38F1E"/>
    <w:rsid w:val="08F452F4"/>
    <w:rsid w:val="090210A8"/>
    <w:rsid w:val="091AD326"/>
    <w:rsid w:val="0921D626"/>
    <w:rsid w:val="09242CA9"/>
    <w:rsid w:val="094B199A"/>
    <w:rsid w:val="094E7645"/>
    <w:rsid w:val="095160FE"/>
    <w:rsid w:val="0954C16E"/>
    <w:rsid w:val="096139CC"/>
    <w:rsid w:val="097076DF"/>
    <w:rsid w:val="098468B6"/>
    <w:rsid w:val="09864BC2"/>
    <w:rsid w:val="0987F7F6"/>
    <w:rsid w:val="098B6149"/>
    <w:rsid w:val="098FA4A6"/>
    <w:rsid w:val="099665E0"/>
    <w:rsid w:val="0997BBCB"/>
    <w:rsid w:val="0997CCC7"/>
    <w:rsid w:val="09A34D3A"/>
    <w:rsid w:val="09B8BE5F"/>
    <w:rsid w:val="09C49A42"/>
    <w:rsid w:val="09C679A7"/>
    <w:rsid w:val="09C91AEC"/>
    <w:rsid w:val="09DF9E81"/>
    <w:rsid w:val="09E72956"/>
    <w:rsid w:val="09EAE332"/>
    <w:rsid w:val="09F7CF49"/>
    <w:rsid w:val="09F8A4C7"/>
    <w:rsid w:val="0A0834D2"/>
    <w:rsid w:val="0A0D0173"/>
    <w:rsid w:val="0A12A87D"/>
    <w:rsid w:val="0A2FBF97"/>
    <w:rsid w:val="0A300621"/>
    <w:rsid w:val="0A3E7E6C"/>
    <w:rsid w:val="0A6A00F3"/>
    <w:rsid w:val="0A6FD82B"/>
    <w:rsid w:val="0A719319"/>
    <w:rsid w:val="0A829979"/>
    <w:rsid w:val="0A88D739"/>
    <w:rsid w:val="0A8C6107"/>
    <w:rsid w:val="0A914D2C"/>
    <w:rsid w:val="0A9626B3"/>
    <w:rsid w:val="0A9AE588"/>
    <w:rsid w:val="0A9CE1FE"/>
    <w:rsid w:val="0AA10964"/>
    <w:rsid w:val="0ABDDC0F"/>
    <w:rsid w:val="0ACBDB09"/>
    <w:rsid w:val="0AD55B2E"/>
    <w:rsid w:val="0AD83B6D"/>
    <w:rsid w:val="0ADB1252"/>
    <w:rsid w:val="0AEC6CF8"/>
    <w:rsid w:val="0B09E566"/>
    <w:rsid w:val="0B21551D"/>
    <w:rsid w:val="0B22A24E"/>
    <w:rsid w:val="0B26A5B5"/>
    <w:rsid w:val="0B2C693C"/>
    <w:rsid w:val="0B2C92F8"/>
    <w:rsid w:val="0B34FF2A"/>
    <w:rsid w:val="0B384C9C"/>
    <w:rsid w:val="0B485ADF"/>
    <w:rsid w:val="0B55A798"/>
    <w:rsid w:val="0B582B3B"/>
    <w:rsid w:val="0B75963F"/>
    <w:rsid w:val="0B7E6DA2"/>
    <w:rsid w:val="0B8D5F50"/>
    <w:rsid w:val="0B9D6DF4"/>
    <w:rsid w:val="0BA392E1"/>
    <w:rsid w:val="0BA6ABCE"/>
    <w:rsid w:val="0BB7FC43"/>
    <w:rsid w:val="0BC2C0DE"/>
    <w:rsid w:val="0BC400E8"/>
    <w:rsid w:val="0BDB8599"/>
    <w:rsid w:val="0BE5F048"/>
    <w:rsid w:val="0BEBA78B"/>
    <w:rsid w:val="0BFB35E3"/>
    <w:rsid w:val="0C00C885"/>
    <w:rsid w:val="0C279E64"/>
    <w:rsid w:val="0C31B482"/>
    <w:rsid w:val="0C413873"/>
    <w:rsid w:val="0C464140"/>
    <w:rsid w:val="0C48FB23"/>
    <w:rsid w:val="0C4A28F0"/>
    <w:rsid w:val="0C4ADF39"/>
    <w:rsid w:val="0C52B1F0"/>
    <w:rsid w:val="0C5368B3"/>
    <w:rsid w:val="0C68EE6A"/>
    <w:rsid w:val="0C743B68"/>
    <w:rsid w:val="0C8B58E4"/>
    <w:rsid w:val="0CA17502"/>
    <w:rsid w:val="0CACB118"/>
    <w:rsid w:val="0CB4F0C0"/>
    <w:rsid w:val="0CB96669"/>
    <w:rsid w:val="0CBB28AE"/>
    <w:rsid w:val="0CD59526"/>
    <w:rsid w:val="0CDBD869"/>
    <w:rsid w:val="0CDF5D3A"/>
    <w:rsid w:val="0CEA5073"/>
    <w:rsid w:val="0CEFC963"/>
    <w:rsid w:val="0CF98614"/>
    <w:rsid w:val="0D005AEB"/>
    <w:rsid w:val="0D16D4B5"/>
    <w:rsid w:val="0D1E832A"/>
    <w:rsid w:val="0D1FA485"/>
    <w:rsid w:val="0D3E955D"/>
    <w:rsid w:val="0D5471C2"/>
    <w:rsid w:val="0D8AA02E"/>
    <w:rsid w:val="0D8E3F24"/>
    <w:rsid w:val="0D9CE5A4"/>
    <w:rsid w:val="0DB16A0B"/>
    <w:rsid w:val="0DBAC473"/>
    <w:rsid w:val="0DCD913A"/>
    <w:rsid w:val="0DD33CD6"/>
    <w:rsid w:val="0DD48E2E"/>
    <w:rsid w:val="0DD97FA7"/>
    <w:rsid w:val="0DE13661"/>
    <w:rsid w:val="0DECA3D5"/>
    <w:rsid w:val="0E057BEF"/>
    <w:rsid w:val="0E058889"/>
    <w:rsid w:val="0E2DF502"/>
    <w:rsid w:val="0E4794A4"/>
    <w:rsid w:val="0E499E40"/>
    <w:rsid w:val="0E613EB2"/>
    <w:rsid w:val="0E69509E"/>
    <w:rsid w:val="0E705AFE"/>
    <w:rsid w:val="0E7AEC32"/>
    <w:rsid w:val="0EA902E6"/>
    <w:rsid w:val="0EB16E36"/>
    <w:rsid w:val="0EC2DDDC"/>
    <w:rsid w:val="0EC95E6D"/>
    <w:rsid w:val="0ED1A411"/>
    <w:rsid w:val="0ED36554"/>
    <w:rsid w:val="0EE0578A"/>
    <w:rsid w:val="0EE3DBE9"/>
    <w:rsid w:val="0EEA2F5E"/>
    <w:rsid w:val="0EFBA7AE"/>
    <w:rsid w:val="0F03DC8D"/>
    <w:rsid w:val="0F166960"/>
    <w:rsid w:val="0F1C7575"/>
    <w:rsid w:val="0F2BE1C2"/>
    <w:rsid w:val="0F35A4E0"/>
    <w:rsid w:val="0F3FB4B9"/>
    <w:rsid w:val="0F45F649"/>
    <w:rsid w:val="0F4968FB"/>
    <w:rsid w:val="0F50349C"/>
    <w:rsid w:val="0F62491D"/>
    <w:rsid w:val="0F6D2B1D"/>
    <w:rsid w:val="0F728062"/>
    <w:rsid w:val="0F73A5F8"/>
    <w:rsid w:val="0F756E7F"/>
    <w:rsid w:val="0F75F438"/>
    <w:rsid w:val="0F7B79E9"/>
    <w:rsid w:val="0F7C3034"/>
    <w:rsid w:val="0F83302E"/>
    <w:rsid w:val="0F9251FB"/>
    <w:rsid w:val="0F92E09A"/>
    <w:rsid w:val="0F9B4B7E"/>
    <w:rsid w:val="0F9EC358"/>
    <w:rsid w:val="0FA2DBB1"/>
    <w:rsid w:val="0FA66756"/>
    <w:rsid w:val="0FBC2418"/>
    <w:rsid w:val="0FBFA224"/>
    <w:rsid w:val="0FDF143A"/>
    <w:rsid w:val="0FDFFDC8"/>
    <w:rsid w:val="0FE75D24"/>
    <w:rsid w:val="0FE85FF0"/>
    <w:rsid w:val="0FEAA02F"/>
    <w:rsid w:val="0FF7458B"/>
    <w:rsid w:val="0FFA3F75"/>
    <w:rsid w:val="10077CAE"/>
    <w:rsid w:val="10150CE5"/>
    <w:rsid w:val="101BA378"/>
    <w:rsid w:val="1027B4F0"/>
    <w:rsid w:val="102C4492"/>
    <w:rsid w:val="1030537E"/>
    <w:rsid w:val="103DC2D0"/>
    <w:rsid w:val="104A8A70"/>
    <w:rsid w:val="10601CC3"/>
    <w:rsid w:val="10606C7F"/>
    <w:rsid w:val="10641AA3"/>
    <w:rsid w:val="106CCA7F"/>
    <w:rsid w:val="10714855"/>
    <w:rsid w:val="10730BA6"/>
    <w:rsid w:val="10974C5F"/>
    <w:rsid w:val="109E63AB"/>
    <w:rsid w:val="10A6F573"/>
    <w:rsid w:val="10AA99A4"/>
    <w:rsid w:val="10B3F2B2"/>
    <w:rsid w:val="10B8B698"/>
    <w:rsid w:val="10B92D48"/>
    <w:rsid w:val="10C7244E"/>
    <w:rsid w:val="10CF32C1"/>
    <w:rsid w:val="10D1C8C5"/>
    <w:rsid w:val="10EBF9B0"/>
    <w:rsid w:val="10F4B5D1"/>
    <w:rsid w:val="10FC0CDE"/>
    <w:rsid w:val="1100C6AE"/>
    <w:rsid w:val="1101327F"/>
    <w:rsid w:val="11073717"/>
    <w:rsid w:val="11198386"/>
    <w:rsid w:val="11280F43"/>
    <w:rsid w:val="11282996"/>
    <w:rsid w:val="112B11C6"/>
    <w:rsid w:val="112EE05F"/>
    <w:rsid w:val="11354C14"/>
    <w:rsid w:val="113B8084"/>
    <w:rsid w:val="113D783D"/>
    <w:rsid w:val="11432BDC"/>
    <w:rsid w:val="11490B37"/>
    <w:rsid w:val="1153242B"/>
    <w:rsid w:val="116A599E"/>
    <w:rsid w:val="117D291B"/>
    <w:rsid w:val="1180225C"/>
    <w:rsid w:val="118A1ED3"/>
    <w:rsid w:val="118AE616"/>
    <w:rsid w:val="11A0614C"/>
    <w:rsid w:val="11B0C026"/>
    <w:rsid w:val="11B153A3"/>
    <w:rsid w:val="11C33145"/>
    <w:rsid w:val="11C391A3"/>
    <w:rsid w:val="11D31F51"/>
    <w:rsid w:val="11E0D4E3"/>
    <w:rsid w:val="11F0FCA5"/>
    <w:rsid w:val="11FC9E76"/>
    <w:rsid w:val="12051F9D"/>
    <w:rsid w:val="12055A4C"/>
    <w:rsid w:val="12078FF3"/>
    <w:rsid w:val="120F5C84"/>
    <w:rsid w:val="1215AE39"/>
    <w:rsid w:val="121BD76D"/>
    <w:rsid w:val="12337EF1"/>
    <w:rsid w:val="123875FA"/>
    <w:rsid w:val="12397516"/>
    <w:rsid w:val="1249A91D"/>
    <w:rsid w:val="12502F76"/>
    <w:rsid w:val="125F2AC9"/>
    <w:rsid w:val="129C0F04"/>
    <w:rsid w:val="129D1531"/>
    <w:rsid w:val="12B6AFFA"/>
    <w:rsid w:val="12CB2B47"/>
    <w:rsid w:val="12CF00D3"/>
    <w:rsid w:val="12D5EF80"/>
    <w:rsid w:val="12D7EC3B"/>
    <w:rsid w:val="12E5A560"/>
    <w:rsid w:val="12E8F134"/>
    <w:rsid w:val="12F5778F"/>
    <w:rsid w:val="12F9D4D8"/>
    <w:rsid w:val="13081FCB"/>
    <w:rsid w:val="131B4459"/>
    <w:rsid w:val="132A7258"/>
    <w:rsid w:val="1335444B"/>
    <w:rsid w:val="13392262"/>
    <w:rsid w:val="133C7C1E"/>
    <w:rsid w:val="133E70AE"/>
    <w:rsid w:val="13408401"/>
    <w:rsid w:val="13558ACA"/>
    <w:rsid w:val="1364D074"/>
    <w:rsid w:val="136A9C77"/>
    <w:rsid w:val="13706BE1"/>
    <w:rsid w:val="13709213"/>
    <w:rsid w:val="1378D1BA"/>
    <w:rsid w:val="1381B44A"/>
    <w:rsid w:val="1382E14D"/>
    <w:rsid w:val="138591B6"/>
    <w:rsid w:val="138D256F"/>
    <w:rsid w:val="138EF011"/>
    <w:rsid w:val="138F67CD"/>
    <w:rsid w:val="13969B01"/>
    <w:rsid w:val="13A4FB2E"/>
    <w:rsid w:val="13D87C9A"/>
    <w:rsid w:val="13EAD264"/>
    <w:rsid w:val="140AD8CA"/>
    <w:rsid w:val="140EDDB3"/>
    <w:rsid w:val="141F8DF2"/>
    <w:rsid w:val="1428534A"/>
    <w:rsid w:val="142E1488"/>
    <w:rsid w:val="142E32FD"/>
    <w:rsid w:val="14376EDC"/>
    <w:rsid w:val="1466853E"/>
    <w:rsid w:val="146C2749"/>
    <w:rsid w:val="146C3F1F"/>
    <w:rsid w:val="147053CB"/>
    <w:rsid w:val="1472C184"/>
    <w:rsid w:val="147A19D8"/>
    <w:rsid w:val="147A1D7B"/>
    <w:rsid w:val="147C07C1"/>
    <w:rsid w:val="14828B1D"/>
    <w:rsid w:val="14878F01"/>
    <w:rsid w:val="148922CC"/>
    <w:rsid w:val="148A3F0B"/>
    <w:rsid w:val="148CDAC9"/>
    <w:rsid w:val="14956A4D"/>
    <w:rsid w:val="149F6BFD"/>
    <w:rsid w:val="14C1BFF1"/>
    <w:rsid w:val="14CE285C"/>
    <w:rsid w:val="14D5FDEB"/>
    <w:rsid w:val="14E75181"/>
    <w:rsid w:val="14E92D1A"/>
    <w:rsid w:val="14FB1172"/>
    <w:rsid w:val="15048842"/>
    <w:rsid w:val="1510E284"/>
    <w:rsid w:val="1514A225"/>
    <w:rsid w:val="15262C2E"/>
    <w:rsid w:val="1528FCBA"/>
    <w:rsid w:val="15290270"/>
    <w:rsid w:val="153F04F1"/>
    <w:rsid w:val="154FB9AE"/>
    <w:rsid w:val="155542D0"/>
    <w:rsid w:val="15593CB4"/>
    <w:rsid w:val="155D7F52"/>
    <w:rsid w:val="156EA253"/>
    <w:rsid w:val="156FF7DA"/>
    <w:rsid w:val="15782883"/>
    <w:rsid w:val="157BF7F0"/>
    <w:rsid w:val="1582B0D4"/>
    <w:rsid w:val="1589DEAA"/>
    <w:rsid w:val="158BB9BD"/>
    <w:rsid w:val="158C9ABE"/>
    <w:rsid w:val="15ADD6DC"/>
    <w:rsid w:val="15B1B00A"/>
    <w:rsid w:val="15B53B37"/>
    <w:rsid w:val="15BCE59E"/>
    <w:rsid w:val="15CBC1D9"/>
    <w:rsid w:val="15D1877C"/>
    <w:rsid w:val="15D64515"/>
    <w:rsid w:val="15D6D195"/>
    <w:rsid w:val="160BCFCB"/>
    <w:rsid w:val="1628CF15"/>
    <w:rsid w:val="16315C1E"/>
    <w:rsid w:val="16326B35"/>
    <w:rsid w:val="16359BA4"/>
    <w:rsid w:val="163EAEB3"/>
    <w:rsid w:val="16408C52"/>
    <w:rsid w:val="1640B8A3"/>
    <w:rsid w:val="165B0869"/>
    <w:rsid w:val="16655CDF"/>
    <w:rsid w:val="168014D2"/>
    <w:rsid w:val="168992A8"/>
    <w:rsid w:val="16A0EAD1"/>
    <w:rsid w:val="16A4B714"/>
    <w:rsid w:val="16C7F717"/>
    <w:rsid w:val="16C829E1"/>
    <w:rsid w:val="16D83ACC"/>
    <w:rsid w:val="16E26842"/>
    <w:rsid w:val="16E3DEA5"/>
    <w:rsid w:val="16E64A41"/>
    <w:rsid w:val="17061225"/>
    <w:rsid w:val="171C0C80"/>
    <w:rsid w:val="171EE684"/>
    <w:rsid w:val="172133D3"/>
    <w:rsid w:val="173589C3"/>
    <w:rsid w:val="173843F0"/>
    <w:rsid w:val="173BC66D"/>
    <w:rsid w:val="1741480E"/>
    <w:rsid w:val="177DE952"/>
    <w:rsid w:val="178B6586"/>
    <w:rsid w:val="179AC956"/>
    <w:rsid w:val="179B22E8"/>
    <w:rsid w:val="17A0EB6E"/>
    <w:rsid w:val="17C215B8"/>
    <w:rsid w:val="17CDBF25"/>
    <w:rsid w:val="17E0BD96"/>
    <w:rsid w:val="17F916C1"/>
    <w:rsid w:val="181F97BF"/>
    <w:rsid w:val="1823DAF4"/>
    <w:rsid w:val="18397DD9"/>
    <w:rsid w:val="183D56E4"/>
    <w:rsid w:val="18466061"/>
    <w:rsid w:val="185126F0"/>
    <w:rsid w:val="18550D89"/>
    <w:rsid w:val="1862A1DA"/>
    <w:rsid w:val="18680A92"/>
    <w:rsid w:val="187392D2"/>
    <w:rsid w:val="18804351"/>
    <w:rsid w:val="1881FAFE"/>
    <w:rsid w:val="188A96F1"/>
    <w:rsid w:val="188F2FE7"/>
    <w:rsid w:val="18B018E6"/>
    <w:rsid w:val="18B5A61A"/>
    <w:rsid w:val="18C0484A"/>
    <w:rsid w:val="18C5127B"/>
    <w:rsid w:val="18D95804"/>
    <w:rsid w:val="18E307E7"/>
    <w:rsid w:val="18E4F32F"/>
    <w:rsid w:val="18EF8565"/>
    <w:rsid w:val="18F08C5A"/>
    <w:rsid w:val="18FD14A6"/>
    <w:rsid w:val="190C24F0"/>
    <w:rsid w:val="19165C22"/>
    <w:rsid w:val="19176A37"/>
    <w:rsid w:val="19214B23"/>
    <w:rsid w:val="192EC149"/>
    <w:rsid w:val="193CBAF3"/>
    <w:rsid w:val="193F3187"/>
    <w:rsid w:val="194D5A38"/>
    <w:rsid w:val="195A9735"/>
    <w:rsid w:val="196E986D"/>
    <w:rsid w:val="19790EA7"/>
    <w:rsid w:val="197B8132"/>
    <w:rsid w:val="197BA877"/>
    <w:rsid w:val="19ABADF4"/>
    <w:rsid w:val="19AE1234"/>
    <w:rsid w:val="19B14A08"/>
    <w:rsid w:val="19B31E2F"/>
    <w:rsid w:val="19CC62D6"/>
    <w:rsid w:val="19D21542"/>
    <w:rsid w:val="19F22DA3"/>
    <w:rsid w:val="19F3ECE5"/>
    <w:rsid w:val="19F9B3DF"/>
    <w:rsid w:val="19FAC554"/>
    <w:rsid w:val="1A0F11E6"/>
    <w:rsid w:val="1A21713F"/>
    <w:rsid w:val="1A225BEF"/>
    <w:rsid w:val="1A23A11E"/>
    <w:rsid w:val="1A25920A"/>
    <w:rsid w:val="1A2BC3DA"/>
    <w:rsid w:val="1A3C05ED"/>
    <w:rsid w:val="1A3CCF9A"/>
    <w:rsid w:val="1A3FE335"/>
    <w:rsid w:val="1A41F0C5"/>
    <w:rsid w:val="1A49CFEA"/>
    <w:rsid w:val="1A503521"/>
    <w:rsid w:val="1A526FA0"/>
    <w:rsid w:val="1A55D634"/>
    <w:rsid w:val="1A74F2AC"/>
    <w:rsid w:val="1A7F0D08"/>
    <w:rsid w:val="1A822660"/>
    <w:rsid w:val="1A832185"/>
    <w:rsid w:val="1A83BEEB"/>
    <w:rsid w:val="1A8AA498"/>
    <w:rsid w:val="1A9D9B65"/>
    <w:rsid w:val="1ABE06D9"/>
    <w:rsid w:val="1ACE9F36"/>
    <w:rsid w:val="1AD9D547"/>
    <w:rsid w:val="1ADB50FC"/>
    <w:rsid w:val="1AE45ED9"/>
    <w:rsid w:val="1B010898"/>
    <w:rsid w:val="1B04FE9C"/>
    <w:rsid w:val="1B0641FE"/>
    <w:rsid w:val="1B226C23"/>
    <w:rsid w:val="1B3B2820"/>
    <w:rsid w:val="1B467F17"/>
    <w:rsid w:val="1B4B935F"/>
    <w:rsid w:val="1B61EB6D"/>
    <w:rsid w:val="1B6D500B"/>
    <w:rsid w:val="1B702516"/>
    <w:rsid w:val="1B76AB25"/>
    <w:rsid w:val="1B7E18B3"/>
    <w:rsid w:val="1B82564F"/>
    <w:rsid w:val="1B8272BE"/>
    <w:rsid w:val="1B941589"/>
    <w:rsid w:val="1BA0D810"/>
    <w:rsid w:val="1BA3FA9B"/>
    <w:rsid w:val="1BA776C0"/>
    <w:rsid w:val="1BBB0A61"/>
    <w:rsid w:val="1BD199C0"/>
    <w:rsid w:val="1BD94012"/>
    <w:rsid w:val="1BE97E21"/>
    <w:rsid w:val="1BF0296C"/>
    <w:rsid w:val="1BF1C42E"/>
    <w:rsid w:val="1BFA164C"/>
    <w:rsid w:val="1BFDDD45"/>
    <w:rsid w:val="1C02F11E"/>
    <w:rsid w:val="1C03ED9C"/>
    <w:rsid w:val="1C0B2288"/>
    <w:rsid w:val="1C13E07E"/>
    <w:rsid w:val="1C141B5B"/>
    <w:rsid w:val="1C1C54B3"/>
    <w:rsid w:val="1C21D963"/>
    <w:rsid w:val="1C27E4BF"/>
    <w:rsid w:val="1C2E304D"/>
    <w:rsid w:val="1C33A1FE"/>
    <w:rsid w:val="1C3E8435"/>
    <w:rsid w:val="1C3E85D6"/>
    <w:rsid w:val="1C3F640D"/>
    <w:rsid w:val="1C58CF4E"/>
    <w:rsid w:val="1C678568"/>
    <w:rsid w:val="1C6ACB9A"/>
    <w:rsid w:val="1C721E6D"/>
    <w:rsid w:val="1C835BBC"/>
    <w:rsid w:val="1CAAC246"/>
    <w:rsid w:val="1CC4D059"/>
    <w:rsid w:val="1CD0DECE"/>
    <w:rsid w:val="1CD49F72"/>
    <w:rsid w:val="1CE2C170"/>
    <w:rsid w:val="1CEDB2BD"/>
    <w:rsid w:val="1CF65663"/>
    <w:rsid w:val="1CFAADF6"/>
    <w:rsid w:val="1CFE663B"/>
    <w:rsid w:val="1D01C55B"/>
    <w:rsid w:val="1D08BC5B"/>
    <w:rsid w:val="1D140813"/>
    <w:rsid w:val="1D18EE04"/>
    <w:rsid w:val="1D281371"/>
    <w:rsid w:val="1D2DCE5B"/>
    <w:rsid w:val="1D32EBC7"/>
    <w:rsid w:val="1D33B692"/>
    <w:rsid w:val="1D3A7CC2"/>
    <w:rsid w:val="1D40A7AA"/>
    <w:rsid w:val="1D5A776D"/>
    <w:rsid w:val="1D7B4FB2"/>
    <w:rsid w:val="1D86EBFA"/>
    <w:rsid w:val="1D8F95B0"/>
    <w:rsid w:val="1DA38EDB"/>
    <w:rsid w:val="1DB01BF7"/>
    <w:rsid w:val="1DBF9B33"/>
    <w:rsid w:val="1DC014C9"/>
    <w:rsid w:val="1DD669F6"/>
    <w:rsid w:val="1DDEA97E"/>
    <w:rsid w:val="1DEA07B9"/>
    <w:rsid w:val="1DEA1C69"/>
    <w:rsid w:val="1DEEE6BE"/>
    <w:rsid w:val="1E0132A5"/>
    <w:rsid w:val="1E0C0750"/>
    <w:rsid w:val="1E28758B"/>
    <w:rsid w:val="1E28C4A3"/>
    <w:rsid w:val="1E31D920"/>
    <w:rsid w:val="1E3A047F"/>
    <w:rsid w:val="1E4A3B01"/>
    <w:rsid w:val="1E576803"/>
    <w:rsid w:val="1E57C8DD"/>
    <w:rsid w:val="1E605918"/>
    <w:rsid w:val="1E6F3127"/>
    <w:rsid w:val="1E7A398D"/>
    <w:rsid w:val="1E7AD864"/>
    <w:rsid w:val="1E836405"/>
    <w:rsid w:val="1E85A949"/>
    <w:rsid w:val="1E8DEEE3"/>
    <w:rsid w:val="1EA24E4D"/>
    <w:rsid w:val="1EA48992"/>
    <w:rsid w:val="1EBB5F52"/>
    <w:rsid w:val="1EBD7510"/>
    <w:rsid w:val="1ED035CF"/>
    <w:rsid w:val="1EDB3280"/>
    <w:rsid w:val="1EE69BCC"/>
    <w:rsid w:val="1EF093F8"/>
    <w:rsid w:val="1F0D2BB7"/>
    <w:rsid w:val="1F1BF99C"/>
    <w:rsid w:val="1F314AAA"/>
    <w:rsid w:val="1F409BEF"/>
    <w:rsid w:val="1F4BCA40"/>
    <w:rsid w:val="1F4D2ACB"/>
    <w:rsid w:val="1F52D18F"/>
    <w:rsid w:val="1F5310F9"/>
    <w:rsid w:val="1F564C2C"/>
    <w:rsid w:val="1F5C0EDC"/>
    <w:rsid w:val="1F5D0496"/>
    <w:rsid w:val="1F77A819"/>
    <w:rsid w:val="1F9CA1A3"/>
    <w:rsid w:val="1FA3EA70"/>
    <w:rsid w:val="1FAD882D"/>
    <w:rsid w:val="1FB04CDF"/>
    <w:rsid w:val="1FBD51E9"/>
    <w:rsid w:val="1FE3438A"/>
    <w:rsid w:val="1FE62C4B"/>
    <w:rsid w:val="2003620D"/>
    <w:rsid w:val="2008F1B2"/>
    <w:rsid w:val="2009D82A"/>
    <w:rsid w:val="200B4C35"/>
    <w:rsid w:val="20312655"/>
    <w:rsid w:val="20411B4D"/>
    <w:rsid w:val="2053A297"/>
    <w:rsid w:val="205B6840"/>
    <w:rsid w:val="207AE624"/>
    <w:rsid w:val="2080DE14"/>
    <w:rsid w:val="20828AF1"/>
    <w:rsid w:val="209758AB"/>
    <w:rsid w:val="2097E05D"/>
    <w:rsid w:val="20AED77C"/>
    <w:rsid w:val="20B030ED"/>
    <w:rsid w:val="20B2B810"/>
    <w:rsid w:val="20B32A10"/>
    <w:rsid w:val="20BB1E74"/>
    <w:rsid w:val="20D28BF7"/>
    <w:rsid w:val="210AF292"/>
    <w:rsid w:val="210B0E5C"/>
    <w:rsid w:val="210ED342"/>
    <w:rsid w:val="21149571"/>
    <w:rsid w:val="211DE0C4"/>
    <w:rsid w:val="21239C72"/>
    <w:rsid w:val="2125D23F"/>
    <w:rsid w:val="2131A15F"/>
    <w:rsid w:val="2147D5FE"/>
    <w:rsid w:val="215BCF03"/>
    <w:rsid w:val="215F32FD"/>
    <w:rsid w:val="21613454"/>
    <w:rsid w:val="21616725"/>
    <w:rsid w:val="216F1FC0"/>
    <w:rsid w:val="217CC93C"/>
    <w:rsid w:val="2191FE6C"/>
    <w:rsid w:val="219C892C"/>
    <w:rsid w:val="21A4814A"/>
    <w:rsid w:val="21B5876B"/>
    <w:rsid w:val="21C08CCC"/>
    <w:rsid w:val="21CC5FEF"/>
    <w:rsid w:val="21FE88CB"/>
    <w:rsid w:val="21FFE9ED"/>
    <w:rsid w:val="2214A7AC"/>
    <w:rsid w:val="2254F33C"/>
    <w:rsid w:val="225F2C3A"/>
    <w:rsid w:val="2261216A"/>
    <w:rsid w:val="2273686C"/>
    <w:rsid w:val="2273FF85"/>
    <w:rsid w:val="227A6AA8"/>
    <w:rsid w:val="22817121"/>
    <w:rsid w:val="22831B0D"/>
    <w:rsid w:val="228D2310"/>
    <w:rsid w:val="228F68A4"/>
    <w:rsid w:val="22968A65"/>
    <w:rsid w:val="229A3045"/>
    <w:rsid w:val="22A7987C"/>
    <w:rsid w:val="22B275A3"/>
    <w:rsid w:val="22C94DFB"/>
    <w:rsid w:val="22CAA655"/>
    <w:rsid w:val="22D74666"/>
    <w:rsid w:val="22EA036C"/>
    <w:rsid w:val="22EAE7FE"/>
    <w:rsid w:val="22FA74A6"/>
    <w:rsid w:val="2316B969"/>
    <w:rsid w:val="231DE156"/>
    <w:rsid w:val="23272742"/>
    <w:rsid w:val="23352077"/>
    <w:rsid w:val="2336055C"/>
    <w:rsid w:val="23371C29"/>
    <w:rsid w:val="233867FF"/>
    <w:rsid w:val="233E42FF"/>
    <w:rsid w:val="233E4EF5"/>
    <w:rsid w:val="234D5B6A"/>
    <w:rsid w:val="23524971"/>
    <w:rsid w:val="235F1AB8"/>
    <w:rsid w:val="23823315"/>
    <w:rsid w:val="2388862D"/>
    <w:rsid w:val="238EAA5A"/>
    <w:rsid w:val="239282FF"/>
    <w:rsid w:val="239EB55B"/>
    <w:rsid w:val="23A65282"/>
    <w:rsid w:val="23B512C2"/>
    <w:rsid w:val="23D35F5B"/>
    <w:rsid w:val="23E06721"/>
    <w:rsid w:val="23EE99B4"/>
    <w:rsid w:val="2408FDEE"/>
    <w:rsid w:val="240B6B9C"/>
    <w:rsid w:val="24105B39"/>
    <w:rsid w:val="241099A1"/>
    <w:rsid w:val="2411759D"/>
    <w:rsid w:val="2415FD7F"/>
    <w:rsid w:val="2423EDD4"/>
    <w:rsid w:val="2424C6A1"/>
    <w:rsid w:val="242BACD9"/>
    <w:rsid w:val="2468E215"/>
    <w:rsid w:val="246E05CF"/>
    <w:rsid w:val="2475070D"/>
    <w:rsid w:val="248D544D"/>
    <w:rsid w:val="2491CC37"/>
    <w:rsid w:val="24987E9F"/>
    <w:rsid w:val="24CA4306"/>
    <w:rsid w:val="24DE7B51"/>
    <w:rsid w:val="24E206F6"/>
    <w:rsid w:val="24E40DF4"/>
    <w:rsid w:val="24E6F2B7"/>
    <w:rsid w:val="2501481F"/>
    <w:rsid w:val="2505919E"/>
    <w:rsid w:val="25113739"/>
    <w:rsid w:val="251540A3"/>
    <w:rsid w:val="2539F8EF"/>
    <w:rsid w:val="253DF7CC"/>
    <w:rsid w:val="2548EEAD"/>
    <w:rsid w:val="254A8E10"/>
    <w:rsid w:val="254FF708"/>
    <w:rsid w:val="2551FD7D"/>
    <w:rsid w:val="25576E77"/>
    <w:rsid w:val="2563E8FC"/>
    <w:rsid w:val="256C6A47"/>
    <w:rsid w:val="257546A2"/>
    <w:rsid w:val="257EEDC6"/>
    <w:rsid w:val="2582DC80"/>
    <w:rsid w:val="258B311F"/>
    <w:rsid w:val="258F5835"/>
    <w:rsid w:val="259183B1"/>
    <w:rsid w:val="25A620A2"/>
    <w:rsid w:val="25B1B238"/>
    <w:rsid w:val="25B3012F"/>
    <w:rsid w:val="25B3693D"/>
    <w:rsid w:val="25B3CB36"/>
    <w:rsid w:val="25BC9AA7"/>
    <w:rsid w:val="25BDFB37"/>
    <w:rsid w:val="25C871BA"/>
    <w:rsid w:val="25CEAB20"/>
    <w:rsid w:val="25D7771B"/>
    <w:rsid w:val="25DBDCCF"/>
    <w:rsid w:val="25DDB56B"/>
    <w:rsid w:val="25F77112"/>
    <w:rsid w:val="25FA19B6"/>
    <w:rsid w:val="26037578"/>
    <w:rsid w:val="2609C0F6"/>
    <w:rsid w:val="260A0359"/>
    <w:rsid w:val="2613DD52"/>
    <w:rsid w:val="261B03F6"/>
    <w:rsid w:val="26343B2C"/>
    <w:rsid w:val="26362A2A"/>
    <w:rsid w:val="26366CEE"/>
    <w:rsid w:val="263CE482"/>
    <w:rsid w:val="26450D24"/>
    <w:rsid w:val="265673A9"/>
    <w:rsid w:val="265D7B04"/>
    <w:rsid w:val="267387BF"/>
    <w:rsid w:val="26746633"/>
    <w:rsid w:val="267742E3"/>
    <w:rsid w:val="26804690"/>
    <w:rsid w:val="2681E187"/>
    <w:rsid w:val="2682CCDB"/>
    <w:rsid w:val="26AC4AF3"/>
    <w:rsid w:val="26B467EE"/>
    <w:rsid w:val="26BFFFDC"/>
    <w:rsid w:val="26C2AD5C"/>
    <w:rsid w:val="26CBBF58"/>
    <w:rsid w:val="26D8F3A8"/>
    <w:rsid w:val="26DDE0A7"/>
    <w:rsid w:val="26E3FBA5"/>
    <w:rsid w:val="2703E5FC"/>
    <w:rsid w:val="2709C536"/>
    <w:rsid w:val="270AF023"/>
    <w:rsid w:val="271BAE5C"/>
    <w:rsid w:val="271DCC8D"/>
    <w:rsid w:val="27382B5C"/>
    <w:rsid w:val="273E01DF"/>
    <w:rsid w:val="2762D14B"/>
    <w:rsid w:val="27669FD3"/>
    <w:rsid w:val="2769A5F7"/>
    <w:rsid w:val="276B16B1"/>
    <w:rsid w:val="276F0380"/>
    <w:rsid w:val="277006F9"/>
    <w:rsid w:val="27758A75"/>
    <w:rsid w:val="27812AF5"/>
    <w:rsid w:val="2782CD9D"/>
    <w:rsid w:val="278DCFBD"/>
    <w:rsid w:val="27AB432B"/>
    <w:rsid w:val="27B36ED9"/>
    <w:rsid w:val="27B5D9B1"/>
    <w:rsid w:val="27D2215C"/>
    <w:rsid w:val="27D8A917"/>
    <w:rsid w:val="27E3BAB2"/>
    <w:rsid w:val="27F14EA9"/>
    <w:rsid w:val="28015CB5"/>
    <w:rsid w:val="2823A635"/>
    <w:rsid w:val="283D9782"/>
    <w:rsid w:val="2859684A"/>
    <w:rsid w:val="285CE69B"/>
    <w:rsid w:val="288F89A7"/>
    <w:rsid w:val="289377E7"/>
    <w:rsid w:val="2898331F"/>
    <w:rsid w:val="28AB5378"/>
    <w:rsid w:val="28C0F0EA"/>
    <w:rsid w:val="28C5A665"/>
    <w:rsid w:val="28CB06AF"/>
    <w:rsid w:val="28CD7134"/>
    <w:rsid w:val="28D82118"/>
    <w:rsid w:val="28DA3B5D"/>
    <w:rsid w:val="28E07807"/>
    <w:rsid w:val="28E3854C"/>
    <w:rsid w:val="28F03F9D"/>
    <w:rsid w:val="28FEA04C"/>
    <w:rsid w:val="2908C426"/>
    <w:rsid w:val="290B4E1F"/>
    <w:rsid w:val="29279F08"/>
    <w:rsid w:val="292E84C2"/>
    <w:rsid w:val="292EF26C"/>
    <w:rsid w:val="2934C749"/>
    <w:rsid w:val="293BD211"/>
    <w:rsid w:val="29426713"/>
    <w:rsid w:val="29499E4E"/>
    <w:rsid w:val="294A5FB3"/>
    <w:rsid w:val="294D3F62"/>
    <w:rsid w:val="295B499A"/>
    <w:rsid w:val="2979E16E"/>
    <w:rsid w:val="29861801"/>
    <w:rsid w:val="2991A41A"/>
    <w:rsid w:val="299F413D"/>
    <w:rsid w:val="29AF6C6D"/>
    <w:rsid w:val="29B4A2BB"/>
    <w:rsid w:val="29C530A1"/>
    <w:rsid w:val="29CBA914"/>
    <w:rsid w:val="29D8957B"/>
    <w:rsid w:val="29E1413D"/>
    <w:rsid w:val="29E59151"/>
    <w:rsid w:val="29E5B33A"/>
    <w:rsid w:val="29E87D8E"/>
    <w:rsid w:val="29EFF853"/>
    <w:rsid w:val="29F3853A"/>
    <w:rsid w:val="2A044B2D"/>
    <w:rsid w:val="2A09AE4B"/>
    <w:rsid w:val="2A17D406"/>
    <w:rsid w:val="2A261B66"/>
    <w:rsid w:val="2A284CA8"/>
    <w:rsid w:val="2A288E6E"/>
    <w:rsid w:val="2A369721"/>
    <w:rsid w:val="2A37239B"/>
    <w:rsid w:val="2A3783F1"/>
    <w:rsid w:val="2A3B98CC"/>
    <w:rsid w:val="2A433A69"/>
    <w:rsid w:val="2A43C8A1"/>
    <w:rsid w:val="2A4E1F20"/>
    <w:rsid w:val="2A4E388D"/>
    <w:rsid w:val="2A5EBCF4"/>
    <w:rsid w:val="2A79AE14"/>
    <w:rsid w:val="2AA23E63"/>
    <w:rsid w:val="2AA3A176"/>
    <w:rsid w:val="2AA84C6F"/>
    <w:rsid w:val="2AAD604D"/>
    <w:rsid w:val="2AB61424"/>
    <w:rsid w:val="2AB702AE"/>
    <w:rsid w:val="2AC4627D"/>
    <w:rsid w:val="2AD0482B"/>
    <w:rsid w:val="2ADF9E2E"/>
    <w:rsid w:val="2B0B4015"/>
    <w:rsid w:val="2B18B9E9"/>
    <w:rsid w:val="2B1E3A4B"/>
    <w:rsid w:val="2B1F61B4"/>
    <w:rsid w:val="2B23690E"/>
    <w:rsid w:val="2B254E35"/>
    <w:rsid w:val="2B2ED496"/>
    <w:rsid w:val="2B3CFDEE"/>
    <w:rsid w:val="2B4936FF"/>
    <w:rsid w:val="2B495D4A"/>
    <w:rsid w:val="2B59CA04"/>
    <w:rsid w:val="2B6460B3"/>
    <w:rsid w:val="2B7373AA"/>
    <w:rsid w:val="2B8B332D"/>
    <w:rsid w:val="2B99FA38"/>
    <w:rsid w:val="2B9CE253"/>
    <w:rsid w:val="2BAB74E6"/>
    <w:rsid w:val="2BB17757"/>
    <w:rsid w:val="2BB4B847"/>
    <w:rsid w:val="2BC40EA8"/>
    <w:rsid w:val="2BD4AEF9"/>
    <w:rsid w:val="2BE793FF"/>
    <w:rsid w:val="2BE82197"/>
    <w:rsid w:val="2BF9629B"/>
    <w:rsid w:val="2C01A46B"/>
    <w:rsid w:val="2C035B7F"/>
    <w:rsid w:val="2C0C3BD6"/>
    <w:rsid w:val="2C16C5C5"/>
    <w:rsid w:val="2C1D0404"/>
    <w:rsid w:val="2C34224E"/>
    <w:rsid w:val="2C3B6A2F"/>
    <w:rsid w:val="2C448C08"/>
    <w:rsid w:val="2C684815"/>
    <w:rsid w:val="2C6CA01D"/>
    <w:rsid w:val="2C70917E"/>
    <w:rsid w:val="2C73FCCB"/>
    <w:rsid w:val="2C7CE282"/>
    <w:rsid w:val="2C84671A"/>
    <w:rsid w:val="2C8D02CF"/>
    <w:rsid w:val="2CA748FE"/>
    <w:rsid w:val="2CB84FD7"/>
    <w:rsid w:val="2CC78438"/>
    <w:rsid w:val="2CD5C840"/>
    <w:rsid w:val="2CD97316"/>
    <w:rsid w:val="2CEB5995"/>
    <w:rsid w:val="2CF26BFD"/>
    <w:rsid w:val="2D165E67"/>
    <w:rsid w:val="2D179065"/>
    <w:rsid w:val="2D1B743E"/>
    <w:rsid w:val="2D1FAC7B"/>
    <w:rsid w:val="2D206B4B"/>
    <w:rsid w:val="2D209505"/>
    <w:rsid w:val="2D2F1A08"/>
    <w:rsid w:val="2D359EA3"/>
    <w:rsid w:val="2D35C48E"/>
    <w:rsid w:val="2D410D1A"/>
    <w:rsid w:val="2D5B24E7"/>
    <w:rsid w:val="2D6C3A49"/>
    <w:rsid w:val="2D7EBB23"/>
    <w:rsid w:val="2D87ADE4"/>
    <w:rsid w:val="2D8BE55F"/>
    <w:rsid w:val="2D8F947A"/>
    <w:rsid w:val="2D9CE848"/>
    <w:rsid w:val="2DA073CF"/>
    <w:rsid w:val="2DAC090E"/>
    <w:rsid w:val="2DAF9851"/>
    <w:rsid w:val="2DB069DD"/>
    <w:rsid w:val="2DB09C39"/>
    <w:rsid w:val="2DC696FE"/>
    <w:rsid w:val="2DD0429D"/>
    <w:rsid w:val="2DDA701F"/>
    <w:rsid w:val="2DE44C28"/>
    <w:rsid w:val="2DF87309"/>
    <w:rsid w:val="2DFD3021"/>
    <w:rsid w:val="2E01B076"/>
    <w:rsid w:val="2E068FC0"/>
    <w:rsid w:val="2E089BF2"/>
    <w:rsid w:val="2E1219AE"/>
    <w:rsid w:val="2E16B0B2"/>
    <w:rsid w:val="2E272A69"/>
    <w:rsid w:val="2E2787E4"/>
    <w:rsid w:val="2E3FD2F6"/>
    <w:rsid w:val="2E4E4E28"/>
    <w:rsid w:val="2E59707C"/>
    <w:rsid w:val="2E5DCEB2"/>
    <w:rsid w:val="2E5E9A00"/>
    <w:rsid w:val="2E6AD4E6"/>
    <w:rsid w:val="2E6D96DA"/>
    <w:rsid w:val="2E787D08"/>
    <w:rsid w:val="2E8D1EDD"/>
    <w:rsid w:val="2E945B6B"/>
    <w:rsid w:val="2E9A46F8"/>
    <w:rsid w:val="2EB0A42E"/>
    <w:rsid w:val="2EB3EE60"/>
    <w:rsid w:val="2EE0CCD7"/>
    <w:rsid w:val="2EE25205"/>
    <w:rsid w:val="2EE2FFE9"/>
    <w:rsid w:val="2EF424D8"/>
    <w:rsid w:val="2F0BC8EB"/>
    <w:rsid w:val="2F140E1D"/>
    <w:rsid w:val="2F1EC26C"/>
    <w:rsid w:val="2F2BE122"/>
    <w:rsid w:val="2F333A8B"/>
    <w:rsid w:val="2F4C8D34"/>
    <w:rsid w:val="2F57E28C"/>
    <w:rsid w:val="2F5D1C6F"/>
    <w:rsid w:val="2F666E7F"/>
    <w:rsid w:val="2F69B1F1"/>
    <w:rsid w:val="2F6AEE39"/>
    <w:rsid w:val="2F6F947B"/>
    <w:rsid w:val="2F6FD57E"/>
    <w:rsid w:val="2F84E5AC"/>
    <w:rsid w:val="2F8A19F4"/>
    <w:rsid w:val="2F9BD95C"/>
    <w:rsid w:val="2FA816FF"/>
    <w:rsid w:val="2FA82D67"/>
    <w:rsid w:val="2FABEA9A"/>
    <w:rsid w:val="2FBA8B44"/>
    <w:rsid w:val="2FC68DBA"/>
    <w:rsid w:val="2FEB78C4"/>
    <w:rsid w:val="2FEC9AA6"/>
    <w:rsid w:val="2FF06D10"/>
    <w:rsid w:val="2FF1D02E"/>
    <w:rsid w:val="300BD13C"/>
    <w:rsid w:val="3025D55E"/>
    <w:rsid w:val="303099B0"/>
    <w:rsid w:val="3035337B"/>
    <w:rsid w:val="303D8D53"/>
    <w:rsid w:val="305FDA21"/>
    <w:rsid w:val="30613445"/>
    <w:rsid w:val="3077A523"/>
    <w:rsid w:val="3085F7F4"/>
    <w:rsid w:val="309A9519"/>
    <w:rsid w:val="309C3149"/>
    <w:rsid w:val="309DAD7D"/>
    <w:rsid w:val="309DCD18"/>
    <w:rsid w:val="30AA3956"/>
    <w:rsid w:val="30BFA139"/>
    <w:rsid w:val="30C16123"/>
    <w:rsid w:val="30C414C7"/>
    <w:rsid w:val="30CE4A18"/>
    <w:rsid w:val="30D2490E"/>
    <w:rsid w:val="30D60216"/>
    <w:rsid w:val="30DF3A13"/>
    <w:rsid w:val="30EC01F3"/>
    <w:rsid w:val="30F97D5B"/>
    <w:rsid w:val="31028AA7"/>
    <w:rsid w:val="310FD7A2"/>
    <w:rsid w:val="31115E3F"/>
    <w:rsid w:val="311A7CE1"/>
    <w:rsid w:val="3128966A"/>
    <w:rsid w:val="312B981C"/>
    <w:rsid w:val="312CBD68"/>
    <w:rsid w:val="312D576C"/>
    <w:rsid w:val="31326E6B"/>
    <w:rsid w:val="31338724"/>
    <w:rsid w:val="313A4298"/>
    <w:rsid w:val="31487132"/>
    <w:rsid w:val="3148FB95"/>
    <w:rsid w:val="31492CE6"/>
    <w:rsid w:val="3149C14F"/>
    <w:rsid w:val="3161F44B"/>
    <w:rsid w:val="31754551"/>
    <w:rsid w:val="3175A731"/>
    <w:rsid w:val="318DA134"/>
    <w:rsid w:val="318E79B3"/>
    <w:rsid w:val="319F83F6"/>
    <w:rsid w:val="31A71FE3"/>
    <w:rsid w:val="31BBC342"/>
    <w:rsid w:val="31BF2AFA"/>
    <w:rsid w:val="31C86D89"/>
    <w:rsid w:val="31D8BB6C"/>
    <w:rsid w:val="31EE03A8"/>
    <w:rsid w:val="31EEC4BA"/>
    <w:rsid w:val="31FD9288"/>
    <w:rsid w:val="3217A2F9"/>
    <w:rsid w:val="321CCC10"/>
    <w:rsid w:val="322DA458"/>
    <w:rsid w:val="323AF484"/>
    <w:rsid w:val="3245A85E"/>
    <w:rsid w:val="32476D3E"/>
    <w:rsid w:val="324F1D95"/>
    <w:rsid w:val="3253FF48"/>
    <w:rsid w:val="3258FBD1"/>
    <w:rsid w:val="325E40D3"/>
    <w:rsid w:val="327981B3"/>
    <w:rsid w:val="327B4035"/>
    <w:rsid w:val="3280B023"/>
    <w:rsid w:val="329550FC"/>
    <w:rsid w:val="329683BE"/>
    <w:rsid w:val="32975B9F"/>
    <w:rsid w:val="329F9095"/>
    <w:rsid w:val="32A08D89"/>
    <w:rsid w:val="32A1E983"/>
    <w:rsid w:val="32BFE1C3"/>
    <w:rsid w:val="32CDD33A"/>
    <w:rsid w:val="32D3E877"/>
    <w:rsid w:val="32D61BF7"/>
    <w:rsid w:val="32DDEB91"/>
    <w:rsid w:val="32E5B5B3"/>
    <w:rsid w:val="32F021C5"/>
    <w:rsid w:val="3300D4F8"/>
    <w:rsid w:val="33048D1D"/>
    <w:rsid w:val="331B667D"/>
    <w:rsid w:val="33272E0B"/>
    <w:rsid w:val="333DA8D1"/>
    <w:rsid w:val="334A359B"/>
    <w:rsid w:val="335FB7A4"/>
    <w:rsid w:val="336260A4"/>
    <w:rsid w:val="337D0498"/>
    <w:rsid w:val="339A05C5"/>
    <w:rsid w:val="339DFCDA"/>
    <w:rsid w:val="33BB8A0A"/>
    <w:rsid w:val="33D2183D"/>
    <w:rsid w:val="33D81191"/>
    <w:rsid w:val="33E78A77"/>
    <w:rsid w:val="33F34CE0"/>
    <w:rsid w:val="33FDFF37"/>
    <w:rsid w:val="34069FA4"/>
    <w:rsid w:val="34232585"/>
    <w:rsid w:val="3439CC9E"/>
    <w:rsid w:val="3440B50A"/>
    <w:rsid w:val="344256D9"/>
    <w:rsid w:val="3443F646"/>
    <w:rsid w:val="346C5F35"/>
    <w:rsid w:val="34700241"/>
    <w:rsid w:val="34858E4D"/>
    <w:rsid w:val="3486682D"/>
    <w:rsid w:val="3489CDBB"/>
    <w:rsid w:val="348C486D"/>
    <w:rsid w:val="348D1419"/>
    <w:rsid w:val="348FCCE2"/>
    <w:rsid w:val="349587F1"/>
    <w:rsid w:val="34980A02"/>
    <w:rsid w:val="349E397B"/>
    <w:rsid w:val="34A6FF30"/>
    <w:rsid w:val="34AB8D2E"/>
    <w:rsid w:val="34CA500D"/>
    <w:rsid w:val="34D588D7"/>
    <w:rsid w:val="34DE98F2"/>
    <w:rsid w:val="34E8545D"/>
    <w:rsid w:val="34E900CA"/>
    <w:rsid w:val="34F6E64A"/>
    <w:rsid w:val="350F670F"/>
    <w:rsid w:val="350FBC5C"/>
    <w:rsid w:val="35247FB7"/>
    <w:rsid w:val="352C6DDA"/>
    <w:rsid w:val="353D200C"/>
    <w:rsid w:val="3551E0A1"/>
    <w:rsid w:val="357091C0"/>
    <w:rsid w:val="3577ADB6"/>
    <w:rsid w:val="35835ADE"/>
    <w:rsid w:val="358B4F0E"/>
    <w:rsid w:val="35B41E79"/>
    <w:rsid w:val="35C197AA"/>
    <w:rsid w:val="35CF6DEA"/>
    <w:rsid w:val="35F17B79"/>
    <w:rsid w:val="35F6AC02"/>
    <w:rsid w:val="3603003B"/>
    <w:rsid w:val="3610C0EB"/>
    <w:rsid w:val="361DAB6C"/>
    <w:rsid w:val="361F5002"/>
    <w:rsid w:val="362329D8"/>
    <w:rsid w:val="36373749"/>
    <w:rsid w:val="3651BB6F"/>
    <w:rsid w:val="3658CAF5"/>
    <w:rsid w:val="367D9DBA"/>
    <w:rsid w:val="368853E6"/>
    <w:rsid w:val="3688B57C"/>
    <w:rsid w:val="36B75A06"/>
    <w:rsid w:val="36D26DD8"/>
    <w:rsid w:val="36ECD413"/>
    <w:rsid w:val="36F4F40D"/>
    <w:rsid w:val="36FB2006"/>
    <w:rsid w:val="36FCEDBB"/>
    <w:rsid w:val="3700D895"/>
    <w:rsid w:val="371467D4"/>
    <w:rsid w:val="37161E12"/>
    <w:rsid w:val="37193593"/>
    <w:rsid w:val="37208300"/>
    <w:rsid w:val="3757818C"/>
    <w:rsid w:val="37585CF2"/>
    <w:rsid w:val="3769102B"/>
    <w:rsid w:val="377953CC"/>
    <w:rsid w:val="377D0021"/>
    <w:rsid w:val="378A1616"/>
    <w:rsid w:val="37A0DBBE"/>
    <w:rsid w:val="37B23E34"/>
    <w:rsid w:val="37C2D18B"/>
    <w:rsid w:val="37C8F502"/>
    <w:rsid w:val="37DEC00E"/>
    <w:rsid w:val="37F39882"/>
    <w:rsid w:val="37F76BB5"/>
    <w:rsid w:val="380B0AAC"/>
    <w:rsid w:val="381520D6"/>
    <w:rsid w:val="381D0A53"/>
    <w:rsid w:val="3834B326"/>
    <w:rsid w:val="38360205"/>
    <w:rsid w:val="383F6AE7"/>
    <w:rsid w:val="38475E76"/>
    <w:rsid w:val="3858F3FE"/>
    <w:rsid w:val="3867537C"/>
    <w:rsid w:val="3881ECBF"/>
    <w:rsid w:val="38A41B5F"/>
    <w:rsid w:val="38BF8836"/>
    <w:rsid w:val="38C09B60"/>
    <w:rsid w:val="38C0EDE1"/>
    <w:rsid w:val="38C66DDB"/>
    <w:rsid w:val="38CE0D66"/>
    <w:rsid w:val="38D1A1B6"/>
    <w:rsid w:val="38DE00AA"/>
    <w:rsid w:val="38DFEFA8"/>
    <w:rsid w:val="38E15347"/>
    <w:rsid w:val="38EA93F0"/>
    <w:rsid w:val="38EDF848"/>
    <w:rsid w:val="3910EBA8"/>
    <w:rsid w:val="3914D648"/>
    <w:rsid w:val="392C0826"/>
    <w:rsid w:val="3939C7F7"/>
    <w:rsid w:val="393B4596"/>
    <w:rsid w:val="39469A22"/>
    <w:rsid w:val="39498273"/>
    <w:rsid w:val="394FF0AB"/>
    <w:rsid w:val="3959EAEC"/>
    <w:rsid w:val="3963D6BC"/>
    <w:rsid w:val="397DFBF3"/>
    <w:rsid w:val="3989E0AF"/>
    <w:rsid w:val="39996DB6"/>
    <w:rsid w:val="39A0D579"/>
    <w:rsid w:val="39AC49FE"/>
    <w:rsid w:val="39C3A2F9"/>
    <w:rsid w:val="39CA2C98"/>
    <w:rsid w:val="39CAB5FE"/>
    <w:rsid w:val="39CDFDE2"/>
    <w:rsid w:val="39DB65DA"/>
    <w:rsid w:val="39E48E12"/>
    <w:rsid w:val="39E5BE10"/>
    <w:rsid w:val="39EB8B66"/>
    <w:rsid w:val="39F653A4"/>
    <w:rsid w:val="3A03B844"/>
    <w:rsid w:val="3A065D77"/>
    <w:rsid w:val="3A0C3156"/>
    <w:rsid w:val="3A1C074A"/>
    <w:rsid w:val="3A322B6E"/>
    <w:rsid w:val="3A3D529D"/>
    <w:rsid w:val="3A3DB2AF"/>
    <w:rsid w:val="3A4F4570"/>
    <w:rsid w:val="3A5D937B"/>
    <w:rsid w:val="3A6E6E6A"/>
    <w:rsid w:val="3A6E7F3A"/>
    <w:rsid w:val="3A77D21A"/>
    <w:rsid w:val="3A827D61"/>
    <w:rsid w:val="3A82F618"/>
    <w:rsid w:val="3A880C8C"/>
    <w:rsid w:val="3A92EBC0"/>
    <w:rsid w:val="3A993BEA"/>
    <w:rsid w:val="3A9BBBC6"/>
    <w:rsid w:val="3A9E2AE6"/>
    <w:rsid w:val="3AB0D356"/>
    <w:rsid w:val="3AC4C011"/>
    <w:rsid w:val="3ADA963B"/>
    <w:rsid w:val="3ADEA61A"/>
    <w:rsid w:val="3AFEA188"/>
    <w:rsid w:val="3B08335C"/>
    <w:rsid w:val="3B1248F4"/>
    <w:rsid w:val="3B28E2D2"/>
    <w:rsid w:val="3B2B33B6"/>
    <w:rsid w:val="3B44BA73"/>
    <w:rsid w:val="3B458105"/>
    <w:rsid w:val="3B4B4D05"/>
    <w:rsid w:val="3B4DC819"/>
    <w:rsid w:val="3B52382D"/>
    <w:rsid w:val="3B5579A3"/>
    <w:rsid w:val="3B7B6E05"/>
    <w:rsid w:val="3B808AA6"/>
    <w:rsid w:val="3B92D7DC"/>
    <w:rsid w:val="3B93AB0B"/>
    <w:rsid w:val="3B9D3061"/>
    <w:rsid w:val="3BA801B7"/>
    <w:rsid w:val="3BA8C61F"/>
    <w:rsid w:val="3BAEE805"/>
    <w:rsid w:val="3BC1B5B6"/>
    <w:rsid w:val="3BD66CB5"/>
    <w:rsid w:val="3BED0C17"/>
    <w:rsid w:val="3BF293F0"/>
    <w:rsid w:val="3C00BD22"/>
    <w:rsid w:val="3C0945E7"/>
    <w:rsid w:val="3C0D741B"/>
    <w:rsid w:val="3C1664F3"/>
    <w:rsid w:val="3C1F8264"/>
    <w:rsid w:val="3C2B6446"/>
    <w:rsid w:val="3C346E57"/>
    <w:rsid w:val="3C5F6462"/>
    <w:rsid w:val="3C620B96"/>
    <w:rsid w:val="3C6E3DF8"/>
    <w:rsid w:val="3C7472B6"/>
    <w:rsid w:val="3C8739DB"/>
    <w:rsid w:val="3C98CC7C"/>
    <w:rsid w:val="3C9ED2E2"/>
    <w:rsid w:val="3CA04F15"/>
    <w:rsid w:val="3CA50190"/>
    <w:rsid w:val="3CB449FC"/>
    <w:rsid w:val="3CB7250A"/>
    <w:rsid w:val="3CBD494E"/>
    <w:rsid w:val="3CE9B183"/>
    <w:rsid w:val="3CEFDEF3"/>
    <w:rsid w:val="3CEFE43E"/>
    <w:rsid w:val="3CF0D365"/>
    <w:rsid w:val="3CF4025B"/>
    <w:rsid w:val="3CFD9691"/>
    <w:rsid w:val="3D05ECB4"/>
    <w:rsid w:val="3D098FC3"/>
    <w:rsid w:val="3D17369C"/>
    <w:rsid w:val="3D42040C"/>
    <w:rsid w:val="3D4F8F9F"/>
    <w:rsid w:val="3D52B53B"/>
    <w:rsid w:val="3D6ABF03"/>
    <w:rsid w:val="3D780E00"/>
    <w:rsid w:val="3D7BE1A3"/>
    <w:rsid w:val="3D7E3254"/>
    <w:rsid w:val="3D869E95"/>
    <w:rsid w:val="3D99E64A"/>
    <w:rsid w:val="3D9EE633"/>
    <w:rsid w:val="3DB1D28E"/>
    <w:rsid w:val="3DBE16A9"/>
    <w:rsid w:val="3DC734E4"/>
    <w:rsid w:val="3DC99817"/>
    <w:rsid w:val="3DCF2F7B"/>
    <w:rsid w:val="3DD2017E"/>
    <w:rsid w:val="3DD574A8"/>
    <w:rsid w:val="3DD933F6"/>
    <w:rsid w:val="3DDAC1F7"/>
    <w:rsid w:val="3DE7D949"/>
    <w:rsid w:val="3DEE13D6"/>
    <w:rsid w:val="3DF0D2FC"/>
    <w:rsid w:val="3E0617EE"/>
    <w:rsid w:val="3E12E374"/>
    <w:rsid w:val="3E1BACD1"/>
    <w:rsid w:val="3E27BF53"/>
    <w:rsid w:val="3E2B9F8C"/>
    <w:rsid w:val="3E327D10"/>
    <w:rsid w:val="3E598252"/>
    <w:rsid w:val="3E5F8090"/>
    <w:rsid w:val="3E621742"/>
    <w:rsid w:val="3E6B5CC7"/>
    <w:rsid w:val="3E6C7F1A"/>
    <w:rsid w:val="3E704EB5"/>
    <w:rsid w:val="3E769440"/>
    <w:rsid w:val="3E8894D1"/>
    <w:rsid w:val="3E91A0CB"/>
    <w:rsid w:val="3E9D3EB1"/>
    <w:rsid w:val="3EACEB47"/>
    <w:rsid w:val="3EB80D77"/>
    <w:rsid w:val="3ED8F346"/>
    <w:rsid w:val="3EF1CE75"/>
    <w:rsid w:val="3EFF1C05"/>
    <w:rsid w:val="3EFF73D7"/>
    <w:rsid w:val="3F062D72"/>
    <w:rsid w:val="3F09CBCC"/>
    <w:rsid w:val="3F0C6D64"/>
    <w:rsid w:val="3F1CE3DC"/>
    <w:rsid w:val="3F2A5F23"/>
    <w:rsid w:val="3F31380D"/>
    <w:rsid w:val="3F3E3F6A"/>
    <w:rsid w:val="3F40D676"/>
    <w:rsid w:val="3F4393FD"/>
    <w:rsid w:val="3F49942A"/>
    <w:rsid w:val="3F4C1C5D"/>
    <w:rsid w:val="3F518C5A"/>
    <w:rsid w:val="3F592747"/>
    <w:rsid w:val="3F7E8F43"/>
    <w:rsid w:val="3F7FD5B1"/>
    <w:rsid w:val="3F81C817"/>
    <w:rsid w:val="3F90BB50"/>
    <w:rsid w:val="3FA7720B"/>
    <w:rsid w:val="3FB00888"/>
    <w:rsid w:val="3FB080A0"/>
    <w:rsid w:val="3FB1AC2A"/>
    <w:rsid w:val="3FC05924"/>
    <w:rsid w:val="3FC51571"/>
    <w:rsid w:val="3FE52C84"/>
    <w:rsid w:val="3FF3D4C1"/>
    <w:rsid w:val="400B17E0"/>
    <w:rsid w:val="4015B6EA"/>
    <w:rsid w:val="401FA7D5"/>
    <w:rsid w:val="4026C142"/>
    <w:rsid w:val="402E5DFA"/>
    <w:rsid w:val="403015FE"/>
    <w:rsid w:val="40387B97"/>
    <w:rsid w:val="4039F386"/>
    <w:rsid w:val="4079C09C"/>
    <w:rsid w:val="407BFFBA"/>
    <w:rsid w:val="4083A2F2"/>
    <w:rsid w:val="4088A337"/>
    <w:rsid w:val="40986B9C"/>
    <w:rsid w:val="409C055E"/>
    <w:rsid w:val="409E8EED"/>
    <w:rsid w:val="409F5A42"/>
    <w:rsid w:val="40A5E03D"/>
    <w:rsid w:val="40B508C6"/>
    <w:rsid w:val="40BE44DD"/>
    <w:rsid w:val="40C8338F"/>
    <w:rsid w:val="40D5B37A"/>
    <w:rsid w:val="40DE4FF9"/>
    <w:rsid w:val="40E1F5FE"/>
    <w:rsid w:val="40E31357"/>
    <w:rsid w:val="40FBF585"/>
    <w:rsid w:val="40FC16CD"/>
    <w:rsid w:val="4104AF65"/>
    <w:rsid w:val="41135739"/>
    <w:rsid w:val="411EBEA4"/>
    <w:rsid w:val="4123AF69"/>
    <w:rsid w:val="413616D5"/>
    <w:rsid w:val="41365DA0"/>
    <w:rsid w:val="4142EFFA"/>
    <w:rsid w:val="414592BA"/>
    <w:rsid w:val="4147DA3D"/>
    <w:rsid w:val="41672151"/>
    <w:rsid w:val="416C5FD5"/>
    <w:rsid w:val="418A1931"/>
    <w:rsid w:val="418FD002"/>
    <w:rsid w:val="41A82158"/>
    <w:rsid w:val="41A9B3F9"/>
    <w:rsid w:val="41AE0AC8"/>
    <w:rsid w:val="41B8EBB8"/>
    <w:rsid w:val="41BDF196"/>
    <w:rsid w:val="41C163BA"/>
    <w:rsid w:val="41DB1BC6"/>
    <w:rsid w:val="41DB2159"/>
    <w:rsid w:val="41DDB088"/>
    <w:rsid w:val="41DE62B2"/>
    <w:rsid w:val="41DF70E5"/>
    <w:rsid w:val="41E67498"/>
    <w:rsid w:val="41EE01CD"/>
    <w:rsid w:val="41EFFF25"/>
    <w:rsid w:val="41F3A518"/>
    <w:rsid w:val="41F98F55"/>
    <w:rsid w:val="4216FF41"/>
    <w:rsid w:val="42183208"/>
    <w:rsid w:val="421C5E8A"/>
    <w:rsid w:val="42452634"/>
    <w:rsid w:val="42479B2C"/>
    <w:rsid w:val="424D3F68"/>
    <w:rsid w:val="425C9593"/>
    <w:rsid w:val="4263399B"/>
    <w:rsid w:val="42761699"/>
    <w:rsid w:val="4290EAC1"/>
    <w:rsid w:val="429C8783"/>
    <w:rsid w:val="42BA1454"/>
    <w:rsid w:val="42E42732"/>
    <w:rsid w:val="42E764FE"/>
    <w:rsid w:val="42F27443"/>
    <w:rsid w:val="42F8CEB7"/>
    <w:rsid w:val="42FA3EAF"/>
    <w:rsid w:val="42FDDDCD"/>
    <w:rsid w:val="430BE2DC"/>
    <w:rsid w:val="43120A0B"/>
    <w:rsid w:val="431D37B5"/>
    <w:rsid w:val="43233ED6"/>
    <w:rsid w:val="43254F8A"/>
    <w:rsid w:val="4330C60C"/>
    <w:rsid w:val="433B6D74"/>
    <w:rsid w:val="433B78A7"/>
    <w:rsid w:val="4345ACA7"/>
    <w:rsid w:val="4357D071"/>
    <w:rsid w:val="435B3618"/>
    <w:rsid w:val="435BF22F"/>
    <w:rsid w:val="43636F90"/>
    <w:rsid w:val="437EA055"/>
    <w:rsid w:val="43828576"/>
    <w:rsid w:val="438406A8"/>
    <w:rsid w:val="43845E53"/>
    <w:rsid w:val="43869650"/>
    <w:rsid w:val="438B207C"/>
    <w:rsid w:val="43A4630C"/>
    <w:rsid w:val="43AE4FBB"/>
    <w:rsid w:val="43AEF5A5"/>
    <w:rsid w:val="43BFCD90"/>
    <w:rsid w:val="43CCB978"/>
    <w:rsid w:val="43DD1914"/>
    <w:rsid w:val="43E6101C"/>
    <w:rsid w:val="43EFBA4F"/>
    <w:rsid w:val="43F6FC76"/>
    <w:rsid w:val="440441FD"/>
    <w:rsid w:val="44048296"/>
    <w:rsid w:val="441B77E9"/>
    <w:rsid w:val="441F2B11"/>
    <w:rsid w:val="44405678"/>
    <w:rsid w:val="44448200"/>
    <w:rsid w:val="4448F3AC"/>
    <w:rsid w:val="445DC442"/>
    <w:rsid w:val="44607796"/>
    <w:rsid w:val="4462C5BB"/>
    <w:rsid w:val="446A92AE"/>
    <w:rsid w:val="446CAD73"/>
    <w:rsid w:val="447A8813"/>
    <w:rsid w:val="447C58A6"/>
    <w:rsid w:val="44805E15"/>
    <w:rsid w:val="448596BC"/>
    <w:rsid w:val="44859CDB"/>
    <w:rsid w:val="44888C81"/>
    <w:rsid w:val="448CCEB9"/>
    <w:rsid w:val="449C42D1"/>
    <w:rsid w:val="44A6B3DE"/>
    <w:rsid w:val="44A91CF5"/>
    <w:rsid w:val="44AC22EB"/>
    <w:rsid w:val="44C42815"/>
    <w:rsid w:val="44C590B7"/>
    <w:rsid w:val="44D2D00F"/>
    <w:rsid w:val="44D33CD5"/>
    <w:rsid w:val="44DAB159"/>
    <w:rsid w:val="44F4FC94"/>
    <w:rsid w:val="4502ABBE"/>
    <w:rsid w:val="450B48EE"/>
    <w:rsid w:val="450C20F6"/>
    <w:rsid w:val="450EDB54"/>
    <w:rsid w:val="45110E8C"/>
    <w:rsid w:val="451201D2"/>
    <w:rsid w:val="4514CE52"/>
    <w:rsid w:val="45214B53"/>
    <w:rsid w:val="4521FF3E"/>
    <w:rsid w:val="4533FE46"/>
    <w:rsid w:val="45458AD6"/>
    <w:rsid w:val="455A2046"/>
    <w:rsid w:val="455B2087"/>
    <w:rsid w:val="4561E03D"/>
    <w:rsid w:val="456884CE"/>
    <w:rsid w:val="456F9AD7"/>
    <w:rsid w:val="4596E68D"/>
    <w:rsid w:val="45A580A2"/>
    <w:rsid w:val="45D3172C"/>
    <w:rsid w:val="45E592C3"/>
    <w:rsid w:val="45E7731A"/>
    <w:rsid w:val="45F641C6"/>
    <w:rsid w:val="46043873"/>
    <w:rsid w:val="46095B4B"/>
    <w:rsid w:val="460A03B8"/>
    <w:rsid w:val="461558AB"/>
    <w:rsid w:val="4617905E"/>
    <w:rsid w:val="46281B88"/>
    <w:rsid w:val="463B6DA2"/>
    <w:rsid w:val="463DA3BC"/>
    <w:rsid w:val="46567482"/>
    <w:rsid w:val="466B57B3"/>
    <w:rsid w:val="467C850E"/>
    <w:rsid w:val="46812F5A"/>
    <w:rsid w:val="468296A6"/>
    <w:rsid w:val="4686AE9D"/>
    <w:rsid w:val="4696EB48"/>
    <w:rsid w:val="469A7A76"/>
    <w:rsid w:val="46A3BD68"/>
    <w:rsid w:val="46A9BBDC"/>
    <w:rsid w:val="46ABC5FC"/>
    <w:rsid w:val="46B575F4"/>
    <w:rsid w:val="46B9E554"/>
    <w:rsid w:val="46D62444"/>
    <w:rsid w:val="46D7C86B"/>
    <w:rsid w:val="46DD31F4"/>
    <w:rsid w:val="46E93DDA"/>
    <w:rsid w:val="46EC0DC1"/>
    <w:rsid w:val="46EDF889"/>
    <w:rsid w:val="46F30A80"/>
    <w:rsid w:val="46F4E5DF"/>
    <w:rsid w:val="46F82A8F"/>
    <w:rsid w:val="46FE7DFC"/>
    <w:rsid w:val="4700A4CE"/>
    <w:rsid w:val="4700C1D3"/>
    <w:rsid w:val="47026E5E"/>
    <w:rsid w:val="4706B0AA"/>
    <w:rsid w:val="47101CAA"/>
    <w:rsid w:val="4713020F"/>
    <w:rsid w:val="4719E4D2"/>
    <w:rsid w:val="471EABA4"/>
    <w:rsid w:val="47275A8B"/>
    <w:rsid w:val="47296462"/>
    <w:rsid w:val="472C74F7"/>
    <w:rsid w:val="47317D9C"/>
    <w:rsid w:val="47320902"/>
    <w:rsid w:val="473BF471"/>
    <w:rsid w:val="474171D4"/>
    <w:rsid w:val="4742C2C8"/>
    <w:rsid w:val="477541CA"/>
    <w:rsid w:val="4781288F"/>
    <w:rsid w:val="4782F3BE"/>
    <w:rsid w:val="47879FCB"/>
    <w:rsid w:val="478BA102"/>
    <w:rsid w:val="478E3469"/>
    <w:rsid w:val="47CECA7B"/>
    <w:rsid w:val="47DAF764"/>
    <w:rsid w:val="47DB59F2"/>
    <w:rsid w:val="47F11D52"/>
    <w:rsid w:val="47F1DA10"/>
    <w:rsid w:val="47F2D6C3"/>
    <w:rsid w:val="47F3DC5F"/>
    <w:rsid w:val="480DA418"/>
    <w:rsid w:val="48182223"/>
    <w:rsid w:val="4821344A"/>
    <w:rsid w:val="48217E5A"/>
    <w:rsid w:val="48230977"/>
    <w:rsid w:val="484202C6"/>
    <w:rsid w:val="4846DF82"/>
    <w:rsid w:val="48544DF3"/>
    <w:rsid w:val="4858220C"/>
    <w:rsid w:val="485C840B"/>
    <w:rsid w:val="485EEC22"/>
    <w:rsid w:val="486EC9C7"/>
    <w:rsid w:val="48882B63"/>
    <w:rsid w:val="48932BE5"/>
    <w:rsid w:val="489392BD"/>
    <w:rsid w:val="4894C898"/>
    <w:rsid w:val="489B44EF"/>
    <w:rsid w:val="48A4AD41"/>
    <w:rsid w:val="48A840FD"/>
    <w:rsid w:val="48B32F4A"/>
    <w:rsid w:val="48B9ED31"/>
    <w:rsid w:val="48C9AF7D"/>
    <w:rsid w:val="48CA891B"/>
    <w:rsid w:val="48CD4B49"/>
    <w:rsid w:val="48D56CD0"/>
    <w:rsid w:val="48E77C2B"/>
    <w:rsid w:val="48F10A29"/>
    <w:rsid w:val="4901E7AB"/>
    <w:rsid w:val="490662FA"/>
    <w:rsid w:val="490CFA15"/>
    <w:rsid w:val="4938A99A"/>
    <w:rsid w:val="4939FCE4"/>
    <w:rsid w:val="493E19B6"/>
    <w:rsid w:val="49472C09"/>
    <w:rsid w:val="494E99D8"/>
    <w:rsid w:val="4963CFFC"/>
    <w:rsid w:val="4967997F"/>
    <w:rsid w:val="496822DB"/>
    <w:rsid w:val="496A84DD"/>
    <w:rsid w:val="49746B0C"/>
    <w:rsid w:val="498D4703"/>
    <w:rsid w:val="49B12A13"/>
    <w:rsid w:val="49F4F7C7"/>
    <w:rsid w:val="49FFD4A3"/>
    <w:rsid w:val="4A055190"/>
    <w:rsid w:val="4A0D96AE"/>
    <w:rsid w:val="4A0EFC78"/>
    <w:rsid w:val="4A14FA22"/>
    <w:rsid w:val="4A186230"/>
    <w:rsid w:val="4A25E91E"/>
    <w:rsid w:val="4A308A52"/>
    <w:rsid w:val="4A35AB9C"/>
    <w:rsid w:val="4A3C8980"/>
    <w:rsid w:val="4A42FA2A"/>
    <w:rsid w:val="4A4A39A1"/>
    <w:rsid w:val="4A550272"/>
    <w:rsid w:val="4A563DFE"/>
    <w:rsid w:val="4A68E7E0"/>
    <w:rsid w:val="4A701346"/>
    <w:rsid w:val="4AA9BE55"/>
    <w:rsid w:val="4AB01ADA"/>
    <w:rsid w:val="4AB77D4E"/>
    <w:rsid w:val="4AB78287"/>
    <w:rsid w:val="4ABBF6D4"/>
    <w:rsid w:val="4AC5681B"/>
    <w:rsid w:val="4ACB3AF3"/>
    <w:rsid w:val="4AE3CFDB"/>
    <w:rsid w:val="4AEA1EEA"/>
    <w:rsid w:val="4AEB9C59"/>
    <w:rsid w:val="4AF65B18"/>
    <w:rsid w:val="4B0A869F"/>
    <w:rsid w:val="4B0C9E6C"/>
    <w:rsid w:val="4B0FD3E8"/>
    <w:rsid w:val="4B16A3B6"/>
    <w:rsid w:val="4B1BB708"/>
    <w:rsid w:val="4B29126D"/>
    <w:rsid w:val="4B3002D0"/>
    <w:rsid w:val="4B3701B1"/>
    <w:rsid w:val="4B3D6EB0"/>
    <w:rsid w:val="4B49C855"/>
    <w:rsid w:val="4B4A5756"/>
    <w:rsid w:val="4B602FB8"/>
    <w:rsid w:val="4B6D0566"/>
    <w:rsid w:val="4B7F43FE"/>
    <w:rsid w:val="4B8BF18F"/>
    <w:rsid w:val="4BA2E4EC"/>
    <w:rsid w:val="4BA8AA04"/>
    <w:rsid w:val="4BCF72D6"/>
    <w:rsid w:val="4BD0434E"/>
    <w:rsid w:val="4BD7B968"/>
    <w:rsid w:val="4BDAE633"/>
    <w:rsid w:val="4BDBC895"/>
    <w:rsid w:val="4BEAACAA"/>
    <w:rsid w:val="4C021E08"/>
    <w:rsid w:val="4C06C88D"/>
    <w:rsid w:val="4C0FA667"/>
    <w:rsid w:val="4C18CD2D"/>
    <w:rsid w:val="4C1A23A7"/>
    <w:rsid w:val="4C1B0E59"/>
    <w:rsid w:val="4C2039C2"/>
    <w:rsid w:val="4C2B4637"/>
    <w:rsid w:val="4C493DDC"/>
    <w:rsid w:val="4C698C2E"/>
    <w:rsid w:val="4C6B59D1"/>
    <w:rsid w:val="4C701344"/>
    <w:rsid w:val="4C77B6B2"/>
    <w:rsid w:val="4C819114"/>
    <w:rsid w:val="4C81BA12"/>
    <w:rsid w:val="4C8BE9DE"/>
    <w:rsid w:val="4CB40F79"/>
    <w:rsid w:val="4CB6F307"/>
    <w:rsid w:val="4CB85F1A"/>
    <w:rsid w:val="4CB9D551"/>
    <w:rsid w:val="4CCDBE90"/>
    <w:rsid w:val="4CD32EC4"/>
    <w:rsid w:val="4CE11211"/>
    <w:rsid w:val="4CEE73AD"/>
    <w:rsid w:val="4CF046A2"/>
    <w:rsid w:val="4D0E262B"/>
    <w:rsid w:val="4D2CBC61"/>
    <w:rsid w:val="4D2DD68A"/>
    <w:rsid w:val="4D367C8A"/>
    <w:rsid w:val="4D3AEE68"/>
    <w:rsid w:val="4D4CD47B"/>
    <w:rsid w:val="4D4FDF54"/>
    <w:rsid w:val="4D552C82"/>
    <w:rsid w:val="4D55E7B1"/>
    <w:rsid w:val="4D56EC66"/>
    <w:rsid w:val="4D5AE4AF"/>
    <w:rsid w:val="4D635FDF"/>
    <w:rsid w:val="4D640195"/>
    <w:rsid w:val="4D6A2134"/>
    <w:rsid w:val="4D6EF3A4"/>
    <w:rsid w:val="4D752DB4"/>
    <w:rsid w:val="4D7DB812"/>
    <w:rsid w:val="4D806F5F"/>
    <w:rsid w:val="4D815618"/>
    <w:rsid w:val="4D87A88E"/>
    <w:rsid w:val="4D9D5725"/>
    <w:rsid w:val="4DA06F66"/>
    <w:rsid w:val="4DA6D919"/>
    <w:rsid w:val="4DAF23E4"/>
    <w:rsid w:val="4DC0252D"/>
    <w:rsid w:val="4DC7A0C9"/>
    <w:rsid w:val="4DD8B874"/>
    <w:rsid w:val="4DED8E7C"/>
    <w:rsid w:val="4DF32273"/>
    <w:rsid w:val="4DF865B4"/>
    <w:rsid w:val="4DF8B6C7"/>
    <w:rsid w:val="4DF9C794"/>
    <w:rsid w:val="4DFBC87E"/>
    <w:rsid w:val="4E0120F7"/>
    <w:rsid w:val="4E0B6FBE"/>
    <w:rsid w:val="4E0DE67E"/>
    <w:rsid w:val="4E0E6827"/>
    <w:rsid w:val="4E1787C1"/>
    <w:rsid w:val="4E30CDBF"/>
    <w:rsid w:val="4E35E246"/>
    <w:rsid w:val="4E699B76"/>
    <w:rsid w:val="4E85ADC6"/>
    <w:rsid w:val="4E8650E5"/>
    <w:rsid w:val="4EA0DE64"/>
    <w:rsid w:val="4EAF8FC3"/>
    <w:rsid w:val="4EBC20D2"/>
    <w:rsid w:val="4ECCD4AA"/>
    <w:rsid w:val="4ED721E0"/>
    <w:rsid w:val="4EE48786"/>
    <w:rsid w:val="4EE5BC1B"/>
    <w:rsid w:val="4EF25543"/>
    <w:rsid w:val="4F1CED03"/>
    <w:rsid w:val="4F1FFBDC"/>
    <w:rsid w:val="4F30907D"/>
    <w:rsid w:val="4F3AD4AF"/>
    <w:rsid w:val="4F455D4A"/>
    <w:rsid w:val="4F596F2A"/>
    <w:rsid w:val="4F6F9154"/>
    <w:rsid w:val="4F793E44"/>
    <w:rsid w:val="4F7F18D7"/>
    <w:rsid w:val="4F7F6506"/>
    <w:rsid w:val="4F82A76F"/>
    <w:rsid w:val="4F87DAD4"/>
    <w:rsid w:val="4F8D1DE9"/>
    <w:rsid w:val="4F99C371"/>
    <w:rsid w:val="4F9AB4A9"/>
    <w:rsid w:val="4FA74997"/>
    <w:rsid w:val="4FB06D2E"/>
    <w:rsid w:val="4FBB8FA8"/>
    <w:rsid w:val="4FC7809C"/>
    <w:rsid w:val="4FC82CA4"/>
    <w:rsid w:val="4FCC1029"/>
    <w:rsid w:val="4FCCFA4A"/>
    <w:rsid w:val="4FD71843"/>
    <w:rsid w:val="4FE20742"/>
    <w:rsid w:val="4FE47A0F"/>
    <w:rsid w:val="4FF7735E"/>
    <w:rsid w:val="501BF5B6"/>
    <w:rsid w:val="501E8331"/>
    <w:rsid w:val="501EF42F"/>
    <w:rsid w:val="5025C7A3"/>
    <w:rsid w:val="502F0268"/>
    <w:rsid w:val="50496BCD"/>
    <w:rsid w:val="50591B75"/>
    <w:rsid w:val="505ABDAA"/>
    <w:rsid w:val="506E49D0"/>
    <w:rsid w:val="50720ACE"/>
    <w:rsid w:val="50744888"/>
    <w:rsid w:val="508ED41D"/>
    <w:rsid w:val="5091F443"/>
    <w:rsid w:val="509EB3F6"/>
    <w:rsid w:val="509FA8E3"/>
    <w:rsid w:val="50C150E5"/>
    <w:rsid w:val="50C32E28"/>
    <w:rsid w:val="50C86DCC"/>
    <w:rsid w:val="50DE1C86"/>
    <w:rsid w:val="50EB6A6A"/>
    <w:rsid w:val="50EC1F52"/>
    <w:rsid w:val="5100C99A"/>
    <w:rsid w:val="511C7368"/>
    <w:rsid w:val="512C1212"/>
    <w:rsid w:val="5130ACBB"/>
    <w:rsid w:val="5134F09B"/>
    <w:rsid w:val="5149893C"/>
    <w:rsid w:val="514FF882"/>
    <w:rsid w:val="5166D39A"/>
    <w:rsid w:val="5193CB9A"/>
    <w:rsid w:val="51A3C31B"/>
    <w:rsid w:val="51AAC133"/>
    <w:rsid w:val="51B30C44"/>
    <w:rsid w:val="51B92BEE"/>
    <w:rsid w:val="51B94A8B"/>
    <w:rsid w:val="51BFCFC4"/>
    <w:rsid w:val="51C52D6A"/>
    <w:rsid w:val="51CC8CA8"/>
    <w:rsid w:val="51DD6388"/>
    <w:rsid w:val="51E8B605"/>
    <w:rsid w:val="51EFB119"/>
    <w:rsid w:val="51EFDEC1"/>
    <w:rsid w:val="51FA1C83"/>
    <w:rsid w:val="51FBCC3D"/>
    <w:rsid w:val="51FD32BE"/>
    <w:rsid w:val="52035B6E"/>
    <w:rsid w:val="5233AD21"/>
    <w:rsid w:val="523F75CF"/>
    <w:rsid w:val="52403D3D"/>
    <w:rsid w:val="5245F4AA"/>
    <w:rsid w:val="524CBD68"/>
    <w:rsid w:val="52554BC0"/>
    <w:rsid w:val="526B10D4"/>
    <w:rsid w:val="526F6784"/>
    <w:rsid w:val="52766832"/>
    <w:rsid w:val="527DB69D"/>
    <w:rsid w:val="527EEF67"/>
    <w:rsid w:val="528866AA"/>
    <w:rsid w:val="528E0A74"/>
    <w:rsid w:val="528EBA75"/>
    <w:rsid w:val="5292CD8C"/>
    <w:rsid w:val="5293F613"/>
    <w:rsid w:val="52945FA7"/>
    <w:rsid w:val="529C422F"/>
    <w:rsid w:val="52A8C328"/>
    <w:rsid w:val="52AD1A3C"/>
    <w:rsid w:val="52B3BB1D"/>
    <w:rsid w:val="52D8605C"/>
    <w:rsid w:val="52F4E38E"/>
    <w:rsid w:val="52FDDE75"/>
    <w:rsid w:val="52FDF120"/>
    <w:rsid w:val="532160B5"/>
    <w:rsid w:val="532F30AB"/>
    <w:rsid w:val="53320303"/>
    <w:rsid w:val="5337B6DD"/>
    <w:rsid w:val="533899CA"/>
    <w:rsid w:val="534120C7"/>
    <w:rsid w:val="534625D0"/>
    <w:rsid w:val="53615D49"/>
    <w:rsid w:val="53911D66"/>
    <w:rsid w:val="53F1A769"/>
    <w:rsid w:val="53FFA7EA"/>
    <w:rsid w:val="540F93AD"/>
    <w:rsid w:val="54272368"/>
    <w:rsid w:val="542EF316"/>
    <w:rsid w:val="54460333"/>
    <w:rsid w:val="5449A6BC"/>
    <w:rsid w:val="545909FA"/>
    <w:rsid w:val="5491D2A7"/>
    <w:rsid w:val="5491EFEC"/>
    <w:rsid w:val="54923BC4"/>
    <w:rsid w:val="54A0D0D3"/>
    <w:rsid w:val="54A234C3"/>
    <w:rsid w:val="54B83CDA"/>
    <w:rsid w:val="54BD0600"/>
    <w:rsid w:val="54CAA2F4"/>
    <w:rsid w:val="54CE3063"/>
    <w:rsid w:val="54CFACD4"/>
    <w:rsid w:val="54D8CE73"/>
    <w:rsid w:val="54DD9665"/>
    <w:rsid w:val="54E34F13"/>
    <w:rsid w:val="54F3BECE"/>
    <w:rsid w:val="54F812EA"/>
    <w:rsid w:val="54F96573"/>
    <w:rsid w:val="54FD3792"/>
    <w:rsid w:val="54FF62D4"/>
    <w:rsid w:val="55042E60"/>
    <w:rsid w:val="55098B08"/>
    <w:rsid w:val="551136D3"/>
    <w:rsid w:val="5517DE36"/>
    <w:rsid w:val="552B708A"/>
    <w:rsid w:val="55358D93"/>
    <w:rsid w:val="553EEB2D"/>
    <w:rsid w:val="5551368E"/>
    <w:rsid w:val="555D9292"/>
    <w:rsid w:val="557479BD"/>
    <w:rsid w:val="5579AEB6"/>
    <w:rsid w:val="557E4D01"/>
    <w:rsid w:val="55823C6F"/>
    <w:rsid w:val="559163D0"/>
    <w:rsid w:val="55AE1C7E"/>
    <w:rsid w:val="55BC2B84"/>
    <w:rsid w:val="55BE6237"/>
    <w:rsid w:val="55C8ED08"/>
    <w:rsid w:val="55E67E40"/>
    <w:rsid w:val="5611104A"/>
    <w:rsid w:val="563D37D3"/>
    <w:rsid w:val="56421F41"/>
    <w:rsid w:val="5642C9B7"/>
    <w:rsid w:val="5670E748"/>
    <w:rsid w:val="5683236A"/>
    <w:rsid w:val="568BB152"/>
    <w:rsid w:val="56B15E3A"/>
    <w:rsid w:val="56B4B969"/>
    <w:rsid w:val="56B66BF4"/>
    <w:rsid w:val="56C2FC50"/>
    <w:rsid w:val="56C6E382"/>
    <w:rsid w:val="56CAF378"/>
    <w:rsid w:val="56DFFC8C"/>
    <w:rsid w:val="56ECC716"/>
    <w:rsid w:val="56F4B5D5"/>
    <w:rsid w:val="56FB8FF3"/>
    <w:rsid w:val="56FFB7D5"/>
    <w:rsid w:val="57093602"/>
    <w:rsid w:val="5726EC80"/>
    <w:rsid w:val="5728E392"/>
    <w:rsid w:val="5755080E"/>
    <w:rsid w:val="576F5AD3"/>
    <w:rsid w:val="57752561"/>
    <w:rsid w:val="577B524A"/>
    <w:rsid w:val="578E8E35"/>
    <w:rsid w:val="579535E2"/>
    <w:rsid w:val="57A5DB01"/>
    <w:rsid w:val="57BCF94B"/>
    <w:rsid w:val="57E48476"/>
    <w:rsid w:val="57EBE7D9"/>
    <w:rsid w:val="57FCFFD7"/>
    <w:rsid w:val="58060556"/>
    <w:rsid w:val="580B5EC1"/>
    <w:rsid w:val="580ECD40"/>
    <w:rsid w:val="58122091"/>
    <w:rsid w:val="581B00C1"/>
    <w:rsid w:val="58207EA2"/>
    <w:rsid w:val="58272053"/>
    <w:rsid w:val="582746A8"/>
    <w:rsid w:val="5829AA40"/>
    <w:rsid w:val="582F6604"/>
    <w:rsid w:val="58305BDB"/>
    <w:rsid w:val="5839EACA"/>
    <w:rsid w:val="584B27FC"/>
    <w:rsid w:val="5857F9F2"/>
    <w:rsid w:val="585AFB2D"/>
    <w:rsid w:val="58690D34"/>
    <w:rsid w:val="58699855"/>
    <w:rsid w:val="58804A49"/>
    <w:rsid w:val="58812815"/>
    <w:rsid w:val="5892BFDC"/>
    <w:rsid w:val="5899D9E1"/>
    <w:rsid w:val="58A12264"/>
    <w:rsid w:val="58A6B08C"/>
    <w:rsid w:val="58B8A57E"/>
    <w:rsid w:val="58BB2354"/>
    <w:rsid w:val="58D0834A"/>
    <w:rsid w:val="58D61AE6"/>
    <w:rsid w:val="58DA2E59"/>
    <w:rsid w:val="58DC22E6"/>
    <w:rsid w:val="58E90CF9"/>
    <w:rsid w:val="58EE112C"/>
    <w:rsid w:val="58F54740"/>
    <w:rsid w:val="5907341A"/>
    <w:rsid w:val="5912ED14"/>
    <w:rsid w:val="59195138"/>
    <w:rsid w:val="5925B9AE"/>
    <w:rsid w:val="5925DFA8"/>
    <w:rsid w:val="59290E97"/>
    <w:rsid w:val="592C8316"/>
    <w:rsid w:val="59307284"/>
    <w:rsid w:val="593EE527"/>
    <w:rsid w:val="5943C677"/>
    <w:rsid w:val="5948ADE9"/>
    <w:rsid w:val="59501815"/>
    <w:rsid w:val="59510FDA"/>
    <w:rsid w:val="596147A7"/>
    <w:rsid w:val="5962C107"/>
    <w:rsid w:val="59650952"/>
    <w:rsid w:val="5965774B"/>
    <w:rsid w:val="596F37AF"/>
    <w:rsid w:val="5971DE5F"/>
    <w:rsid w:val="597AEFE9"/>
    <w:rsid w:val="599557D4"/>
    <w:rsid w:val="599A78C6"/>
    <w:rsid w:val="59A05D15"/>
    <w:rsid w:val="59A64405"/>
    <w:rsid w:val="59B0DADE"/>
    <w:rsid w:val="59B51A81"/>
    <w:rsid w:val="59B923DF"/>
    <w:rsid w:val="59D253DA"/>
    <w:rsid w:val="59D8F6D6"/>
    <w:rsid w:val="59DBC385"/>
    <w:rsid w:val="59E0F61E"/>
    <w:rsid w:val="59FA1BDB"/>
    <w:rsid w:val="59FB7C53"/>
    <w:rsid w:val="5A003DA9"/>
    <w:rsid w:val="5A021EA8"/>
    <w:rsid w:val="5A03DFDA"/>
    <w:rsid w:val="5A1797DF"/>
    <w:rsid w:val="5A2C7717"/>
    <w:rsid w:val="5A2D8029"/>
    <w:rsid w:val="5A3525EB"/>
    <w:rsid w:val="5A36CB67"/>
    <w:rsid w:val="5A3A5C68"/>
    <w:rsid w:val="5A49788B"/>
    <w:rsid w:val="5A4B258E"/>
    <w:rsid w:val="5A4EF0A8"/>
    <w:rsid w:val="5A50BF28"/>
    <w:rsid w:val="5A5E1205"/>
    <w:rsid w:val="5A64229C"/>
    <w:rsid w:val="5A71ACB8"/>
    <w:rsid w:val="5A8621A0"/>
    <w:rsid w:val="5A877402"/>
    <w:rsid w:val="5A98AFB1"/>
    <w:rsid w:val="5AA46D7C"/>
    <w:rsid w:val="5AA89018"/>
    <w:rsid w:val="5AAE4C25"/>
    <w:rsid w:val="5ACB41B3"/>
    <w:rsid w:val="5ACC75A5"/>
    <w:rsid w:val="5ADBEBF0"/>
    <w:rsid w:val="5ADC8AAD"/>
    <w:rsid w:val="5AF0645C"/>
    <w:rsid w:val="5AF2E322"/>
    <w:rsid w:val="5AF4ED83"/>
    <w:rsid w:val="5AFB95DB"/>
    <w:rsid w:val="5AFD6A1B"/>
    <w:rsid w:val="5B021B42"/>
    <w:rsid w:val="5B056550"/>
    <w:rsid w:val="5B0597DF"/>
    <w:rsid w:val="5B08AAB0"/>
    <w:rsid w:val="5B117BF6"/>
    <w:rsid w:val="5B12F845"/>
    <w:rsid w:val="5B1DED29"/>
    <w:rsid w:val="5B20B63C"/>
    <w:rsid w:val="5B2C7612"/>
    <w:rsid w:val="5B2E71BB"/>
    <w:rsid w:val="5B4398A2"/>
    <w:rsid w:val="5B4CA32D"/>
    <w:rsid w:val="5B66E8D1"/>
    <w:rsid w:val="5B755E37"/>
    <w:rsid w:val="5B90BDCE"/>
    <w:rsid w:val="5B972F50"/>
    <w:rsid w:val="5BB1E849"/>
    <w:rsid w:val="5BB3D26F"/>
    <w:rsid w:val="5BB4AEE6"/>
    <w:rsid w:val="5BBCD9A6"/>
    <w:rsid w:val="5BC2E21E"/>
    <w:rsid w:val="5BDB44AB"/>
    <w:rsid w:val="5BE1832D"/>
    <w:rsid w:val="5BF46D8B"/>
    <w:rsid w:val="5BFB39AB"/>
    <w:rsid w:val="5C027516"/>
    <w:rsid w:val="5C076367"/>
    <w:rsid w:val="5C07BCC3"/>
    <w:rsid w:val="5C1A5DF2"/>
    <w:rsid w:val="5C3517B7"/>
    <w:rsid w:val="5C3CD966"/>
    <w:rsid w:val="5C491D9C"/>
    <w:rsid w:val="5C6DEE9F"/>
    <w:rsid w:val="5C76A8C7"/>
    <w:rsid w:val="5C83F3D3"/>
    <w:rsid w:val="5C8471CE"/>
    <w:rsid w:val="5C8CADFA"/>
    <w:rsid w:val="5C9D4646"/>
    <w:rsid w:val="5CA3B690"/>
    <w:rsid w:val="5CB57761"/>
    <w:rsid w:val="5CB9E190"/>
    <w:rsid w:val="5CBA03F3"/>
    <w:rsid w:val="5CBD3372"/>
    <w:rsid w:val="5CBEB8D1"/>
    <w:rsid w:val="5CC5D338"/>
    <w:rsid w:val="5CCB0C69"/>
    <w:rsid w:val="5CCE4CC2"/>
    <w:rsid w:val="5CDF5417"/>
    <w:rsid w:val="5CEB9BC0"/>
    <w:rsid w:val="5CEFE22B"/>
    <w:rsid w:val="5CF3919D"/>
    <w:rsid w:val="5CFB59A7"/>
    <w:rsid w:val="5D0F74DF"/>
    <w:rsid w:val="5D156250"/>
    <w:rsid w:val="5D15CF4A"/>
    <w:rsid w:val="5D17F09E"/>
    <w:rsid w:val="5D25863A"/>
    <w:rsid w:val="5D2CCCA2"/>
    <w:rsid w:val="5D2F89EE"/>
    <w:rsid w:val="5D318A12"/>
    <w:rsid w:val="5D370CC2"/>
    <w:rsid w:val="5D3B63EC"/>
    <w:rsid w:val="5D483DBF"/>
    <w:rsid w:val="5D4B8564"/>
    <w:rsid w:val="5D505A4E"/>
    <w:rsid w:val="5D5A7100"/>
    <w:rsid w:val="5D5AD531"/>
    <w:rsid w:val="5D60AB58"/>
    <w:rsid w:val="5D676AE8"/>
    <w:rsid w:val="5D95A783"/>
    <w:rsid w:val="5D99F2F8"/>
    <w:rsid w:val="5D9A5D99"/>
    <w:rsid w:val="5DB1992D"/>
    <w:rsid w:val="5DBF26F0"/>
    <w:rsid w:val="5DC9222D"/>
    <w:rsid w:val="5DD89896"/>
    <w:rsid w:val="5DDC2683"/>
    <w:rsid w:val="5DDF0E3A"/>
    <w:rsid w:val="5DE83971"/>
    <w:rsid w:val="5DF1AC3F"/>
    <w:rsid w:val="5E0DA6BC"/>
    <w:rsid w:val="5E1EE702"/>
    <w:rsid w:val="5E24C910"/>
    <w:rsid w:val="5E25BD6C"/>
    <w:rsid w:val="5E286211"/>
    <w:rsid w:val="5E31DE97"/>
    <w:rsid w:val="5E3D97E8"/>
    <w:rsid w:val="5E46B57A"/>
    <w:rsid w:val="5E5468C3"/>
    <w:rsid w:val="5E5571D2"/>
    <w:rsid w:val="5E7BD2D9"/>
    <w:rsid w:val="5E929337"/>
    <w:rsid w:val="5E936172"/>
    <w:rsid w:val="5EAC9A6E"/>
    <w:rsid w:val="5EDB0823"/>
    <w:rsid w:val="5EDB9E8F"/>
    <w:rsid w:val="5EDE7943"/>
    <w:rsid w:val="5EE45E96"/>
    <w:rsid w:val="5EF15B7A"/>
    <w:rsid w:val="5F15B206"/>
    <w:rsid w:val="5F168F7F"/>
    <w:rsid w:val="5F2A90B2"/>
    <w:rsid w:val="5F326B37"/>
    <w:rsid w:val="5F330655"/>
    <w:rsid w:val="5F445D57"/>
    <w:rsid w:val="5F4BB2A9"/>
    <w:rsid w:val="5F4F49F3"/>
    <w:rsid w:val="5F53C959"/>
    <w:rsid w:val="5F5A4D51"/>
    <w:rsid w:val="5F62F164"/>
    <w:rsid w:val="5F85732E"/>
    <w:rsid w:val="5F877748"/>
    <w:rsid w:val="5F890EDD"/>
    <w:rsid w:val="5F90F8CA"/>
    <w:rsid w:val="5F945B8B"/>
    <w:rsid w:val="5FBC1340"/>
    <w:rsid w:val="5FD3BBFD"/>
    <w:rsid w:val="5FDFEDE3"/>
    <w:rsid w:val="5FE269B0"/>
    <w:rsid w:val="5FECF749"/>
    <w:rsid w:val="5FF7E652"/>
    <w:rsid w:val="5FFDEB11"/>
    <w:rsid w:val="6006766F"/>
    <w:rsid w:val="600FC907"/>
    <w:rsid w:val="60190898"/>
    <w:rsid w:val="602536D6"/>
    <w:rsid w:val="6032DE71"/>
    <w:rsid w:val="603DF15C"/>
    <w:rsid w:val="6045B121"/>
    <w:rsid w:val="6048252C"/>
    <w:rsid w:val="604F0B4F"/>
    <w:rsid w:val="6077CA80"/>
    <w:rsid w:val="607B9D71"/>
    <w:rsid w:val="608178C8"/>
    <w:rsid w:val="60885E66"/>
    <w:rsid w:val="6091BBC2"/>
    <w:rsid w:val="60965E62"/>
    <w:rsid w:val="60A97D74"/>
    <w:rsid w:val="60BDF3EE"/>
    <w:rsid w:val="60C1D78D"/>
    <w:rsid w:val="60D7E364"/>
    <w:rsid w:val="60DB1CE7"/>
    <w:rsid w:val="60EF401C"/>
    <w:rsid w:val="610591E1"/>
    <w:rsid w:val="61068DE9"/>
    <w:rsid w:val="610A021A"/>
    <w:rsid w:val="610D3A07"/>
    <w:rsid w:val="611096B9"/>
    <w:rsid w:val="611F9A73"/>
    <w:rsid w:val="6121A877"/>
    <w:rsid w:val="61279127"/>
    <w:rsid w:val="61340E23"/>
    <w:rsid w:val="61451647"/>
    <w:rsid w:val="61466CB3"/>
    <w:rsid w:val="615D3236"/>
    <w:rsid w:val="61675958"/>
    <w:rsid w:val="617F1BFA"/>
    <w:rsid w:val="618CD9C7"/>
    <w:rsid w:val="61921DBF"/>
    <w:rsid w:val="619C5C09"/>
    <w:rsid w:val="61A06637"/>
    <w:rsid w:val="61A61489"/>
    <w:rsid w:val="61AB953D"/>
    <w:rsid w:val="61B6126B"/>
    <w:rsid w:val="61C12F6A"/>
    <w:rsid w:val="61CE041C"/>
    <w:rsid w:val="61F3DF51"/>
    <w:rsid w:val="61FE94EC"/>
    <w:rsid w:val="6210BFCA"/>
    <w:rsid w:val="6216687D"/>
    <w:rsid w:val="62188D15"/>
    <w:rsid w:val="621B6F14"/>
    <w:rsid w:val="62295B78"/>
    <w:rsid w:val="623A5EEC"/>
    <w:rsid w:val="6256DF03"/>
    <w:rsid w:val="6262767F"/>
    <w:rsid w:val="6263FDA7"/>
    <w:rsid w:val="62764FCF"/>
    <w:rsid w:val="6296E46A"/>
    <w:rsid w:val="62ABECE6"/>
    <w:rsid w:val="62AE0AC4"/>
    <w:rsid w:val="62B38448"/>
    <w:rsid w:val="62C6AE57"/>
    <w:rsid w:val="62C8CB20"/>
    <w:rsid w:val="62E77F58"/>
    <w:rsid w:val="62FEEBC1"/>
    <w:rsid w:val="631D65E6"/>
    <w:rsid w:val="631F9706"/>
    <w:rsid w:val="632FFC32"/>
    <w:rsid w:val="633885FB"/>
    <w:rsid w:val="6341641B"/>
    <w:rsid w:val="634BFEB4"/>
    <w:rsid w:val="63550A27"/>
    <w:rsid w:val="635A8B18"/>
    <w:rsid w:val="636BF2EC"/>
    <w:rsid w:val="638CE8C0"/>
    <w:rsid w:val="638E205E"/>
    <w:rsid w:val="63949B98"/>
    <w:rsid w:val="6399E9CB"/>
    <w:rsid w:val="639B39CA"/>
    <w:rsid w:val="63B3C1DC"/>
    <w:rsid w:val="63B6D1D9"/>
    <w:rsid w:val="63B75452"/>
    <w:rsid w:val="63C10E57"/>
    <w:rsid w:val="63C9AFF3"/>
    <w:rsid w:val="63D5396E"/>
    <w:rsid w:val="63E1D666"/>
    <w:rsid w:val="63E2E358"/>
    <w:rsid w:val="63E9A9C3"/>
    <w:rsid w:val="63EFB271"/>
    <w:rsid w:val="63F80169"/>
    <w:rsid w:val="640BD82E"/>
    <w:rsid w:val="6411B2D2"/>
    <w:rsid w:val="64287FC1"/>
    <w:rsid w:val="6437F4CF"/>
    <w:rsid w:val="643891F9"/>
    <w:rsid w:val="643DD0B1"/>
    <w:rsid w:val="643EDB1D"/>
    <w:rsid w:val="6444EDF7"/>
    <w:rsid w:val="645BAF8C"/>
    <w:rsid w:val="6460A0DB"/>
    <w:rsid w:val="64683367"/>
    <w:rsid w:val="647BD98D"/>
    <w:rsid w:val="64A830D2"/>
    <w:rsid w:val="64ACC4AC"/>
    <w:rsid w:val="64AE5D29"/>
    <w:rsid w:val="64C80E31"/>
    <w:rsid w:val="64CE20CC"/>
    <w:rsid w:val="64D16A5A"/>
    <w:rsid w:val="64E9961B"/>
    <w:rsid w:val="64EA15C1"/>
    <w:rsid w:val="64FA4A79"/>
    <w:rsid w:val="64FE723F"/>
    <w:rsid w:val="651232E4"/>
    <w:rsid w:val="651276CB"/>
    <w:rsid w:val="651AD05E"/>
    <w:rsid w:val="65238710"/>
    <w:rsid w:val="652E2348"/>
    <w:rsid w:val="6545A765"/>
    <w:rsid w:val="6554F03C"/>
    <w:rsid w:val="6557B3F9"/>
    <w:rsid w:val="65595B8A"/>
    <w:rsid w:val="656378C8"/>
    <w:rsid w:val="6571C908"/>
    <w:rsid w:val="658A4DAC"/>
    <w:rsid w:val="65B698A3"/>
    <w:rsid w:val="65C87E0D"/>
    <w:rsid w:val="65D3F451"/>
    <w:rsid w:val="65D8BC57"/>
    <w:rsid w:val="65F426A4"/>
    <w:rsid w:val="65F6D9FC"/>
    <w:rsid w:val="65FD3FB6"/>
    <w:rsid w:val="65FF2DA9"/>
    <w:rsid w:val="6608FB36"/>
    <w:rsid w:val="66239C43"/>
    <w:rsid w:val="662C03E3"/>
    <w:rsid w:val="662D14CA"/>
    <w:rsid w:val="66386ABC"/>
    <w:rsid w:val="66506118"/>
    <w:rsid w:val="665AF271"/>
    <w:rsid w:val="665F2C95"/>
    <w:rsid w:val="6680DC27"/>
    <w:rsid w:val="6688DDD5"/>
    <w:rsid w:val="66A270F0"/>
    <w:rsid w:val="66AF6B95"/>
    <w:rsid w:val="66E05B50"/>
    <w:rsid w:val="66E5B2D5"/>
    <w:rsid w:val="66E81ECE"/>
    <w:rsid w:val="66EDED44"/>
    <w:rsid w:val="66F260A4"/>
    <w:rsid w:val="66FCC59A"/>
    <w:rsid w:val="670871BF"/>
    <w:rsid w:val="670ABA9B"/>
    <w:rsid w:val="6712750A"/>
    <w:rsid w:val="67131CE5"/>
    <w:rsid w:val="6739E611"/>
    <w:rsid w:val="6748993E"/>
    <w:rsid w:val="674AC55C"/>
    <w:rsid w:val="67619956"/>
    <w:rsid w:val="677BA8C0"/>
    <w:rsid w:val="677F65FD"/>
    <w:rsid w:val="6787FD1E"/>
    <w:rsid w:val="678D94C0"/>
    <w:rsid w:val="678E09D1"/>
    <w:rsid w:val="679553B6"/>
    <w:rsid w:val="679BDFB0"/>
    <w:rsid w:val="67A68186"/>
    <w:rsid w:val="67A687A5"/>
    <w:rsid w:val="67ABB7E6"/>
    <w:rsid w:val="67ACDB25"/>
    <w:rsid w:val="67AFDBA3"/>
    <w:rsid w:val="67BCFF03"/>
    <w:rsid w:val="67C2317B"/>
    <w:rsid w:val="67CB8FC2"/>
    <w:rsid w:val="67D1119A"/>
    <w:rsid w:val="67DA8B5A"/>
    <w:rsid w:val="68098292"/>
    <w:rsid w:val="68268F64"/>
    <w:rsid w:val="682F984F"/>
    <w:rsid w:val="6844FFC3"/>
    <w:rsid w:val="684EE330"/>
    <w:rsid w:val="6868D16A"/>
    <w:rsid w:val="6874ECAA"/>
    <w:rsid w:val="68782651"/>
    <w:rsid w:val="687A0E30"/>
    <w:rsid w:val="6882C6A7"/>
    <w:rsid w:val="6885FB38"/>
    <w:rsid w:val="688A069B"/>
    <w:rsid w:val="68973E51"/>
    <w:rsid w:val="68AC512B"/>
    <w:rsid w:val="68CB5F0F"/>
    <w:rsid w:val="68D0899A"/>
    <w:rsid w:val="68D1BBE9"/>
    <w:rsid w:val="68D4E01A"/>
    <w:rsid w:val="68F2339C"/>
    <w:rsid w:val="691B4357"/>
    <w:rsid w:val="69269005"/>
    <w:rsid w:val="692F987F"/>
    <w:rsid w:val="6941003C"/>
    <w:rsid w:val="69482274"/>
    <w:rsid w:val="69605EB3"/>
    <w:rsid w:val="69747A36"/>
    <w:rsid w:val="697CA5B2"/>
    <w:rsid w:val="697D1DE7"/>
    <w:rsid w:val="6996EAFE"/>
    <w:rsid w:val="699FFCAE"/>
    <w:rsid w:val="69A5420D"/>
    <w:rsid w:val="69B0B9C6"/>
    <w:rsid w:val="69B33127"/>
    <w:rsid w:val="69B79B58"/>
    <w:rsid w:val="69CD4347"/>
    <w:rsid w:val="69DBB718"/>
    <w:rsid w:val="69E0EFF2"/>
    <w:rsid w:val="69E3B46C"/>
    <w:rsid w:val="69E64FB4"/>
    <w:rsid w:val="69F05B96"/>
    <w:rsid w:val="6A010DFC"/>
    <w:rsid w:val="6A02F7CB"/>
    <w:rsid w:val="6A0D3182"/>
    <w:rsid w:val="6A146CB0"/>
    <w:rsid w:val="6A1822B2"/>
    <w:rsid w:val="6A1D08F0"/>
    <w:rsid w:val="6A23B5D5"/>
    <w:rsid w:val="6A25ED2C"/>
    <w:rsid w:val="6A293317"/>
    <w:rsid w:val="6A3659BF"/>
    <w:rsid w:val="6A3B22B1"/>
    <w:rsid w:val="6A500C35"/>
    <w:rsid w:val="6A50A80F"/>
    <w:rsid w:val="6A596F00"/>
    <w:rsid w:val="6A60F3E7"/>
    <w:rsid w:val="6A6E5FE7"/>
    <w:rsid w:val="6A7F6483"/>
    <w:rsid w:val="6A84658E"/>
    <w:rsid w:val="6A84D2E1"/>
    <w:rsid w:val="6A94E773"/>
    <w:rsid w:val="6A9D603F"/>
    <w:rsid w:val="6AA8AB42"/>
    <w:rsid w:val="6ACBBE62"/>
    <w:rsid w:val="6ADF2D74"/>
    <w:rsid w:val="6AE135EA"/>
    <w:rsid w:val="6AEEEC55"/>
    <w:rsid w:val="6AEF5180"/>
    <w:rsid w:val="6B04BE27"/>
    <w:rsid w:val="6B15988C"/>
    <w:rsid w:val="6B1B9FC6"/>
    <w:rsid w:val="6B2E7332"/>
    <w:rsid w:val="6B3C125A"/>
    <w:rsid w:val="6B52ED37"/>
    <w:rsid w:val="6B63F6EB"/>
    <w:rsid w:val="6B7369C0"/>
    <w:rsid w:val="6B794CE6"/>
    <w:rsid w:val="6B935050"/>
    <w:rsid w:val="6BF06F64"/>
    <w:rsid w:val="6BF0E30B"/>
    <w:rsid w:val="6C015B91"/>
    <w:rsid w:val="6C034DC1"/>
    <w:rsid w:val="6C0B715A"/>
    <w:rsid w:val="6C19D045"/>
    <w:rsid w:val="6C38D059"/>
    <w:rsid w:val="6C4790AF"/>
    <w:rsid w:val="6C535DCB"/>
    <w:rsid w:val="6C5D6420"/>
    <w:rsid w:val="6C669216"/>
    <w:rsid w:val="6C7C2635"/>
    <w:rsid w:val="6C7E9369"/>
    <w:rsid w:val="6C93C307"/>
    <w:rsid w:val="6C9493F0"/>
    <w:rsid w:val="6C988DD4"/>
    <w:rsid w:val="6C9A67BA"/>
    <w:rsid w:val="6C9D74EF"/>
    <w:rsid w:val="6C9DEE59"/>
    <w:rsid w:val="6CAC6A5C"/>
    <w:rsid w:val="6CB21EF5"/>
    <w:rsid w:val="6CBE31A1"/>
    <w:rsid w:val="6CCA859F"/>
    <w:rsid w:val="6CCCAF38"/>
    <w:rsid w:val="6CE93DB1"/>
    <w:rsid w:val="6CF9BEF9"/>
    <w:rsid w:val="6CFDF6D0"/>
    <w:rsid w:val="6D0135D4"/>
    <w:rsid w:val="6D0803BB"/>
    <w:rsid w:val="6D0B6AF3"/>
    <w:rsid w:val="6D2A564E"/>
    <w:rsid w:val="6D2E5597"/>
    <w:rsid w:val="6D407429"/>
    <w:rsid w:val="6D4D6D99"/>
    <w:rsid w:val="6D4F0B71"/>
    <w:rsid w:val="6D7DD3BB"/>
    <w:rsid w:val="6D7FF5F1"/>
    <w:rsid w:val="6D9EE228"/>
    <w:rsid w:val="6DA3343A"/>
    <w:rsid w:val="6DAFE0A2"/>
    <w:rsid w:val="6DB85CDB"/>
    <w:rsid w:val="6DBBA92D"/>
    <w:rsid w:val="6DDBC248"/>
    <w:rsid w:val="6DE923FF"/>
    <w:rsid w:val="6DEDA904"/>
    <w:rsid w:val="6DF633BD"/>
    <w:rsid w:val="6E0A784F"/>
    <w:rsid w:val="6E1F7A88"/>
    <w:rsid w:val="6E258A4A"/>
    <w:rsid w:val="6E46BB06"/>
    <w:rsid w:val="6E47C86D"/>
    <w:rsid w:val="6E5C2E00"/>
    <w:rsid w:val="6E5F019D"/>
    <w:rsid w:val="6E5FDCA7"/>
    <w:rsid w:val="6E601E82"/>
    <w:rsid w:val="6E7F9702"/>
    <w:rsid w:val="6E88FCC0"/>
    <w:rsid w:val="6E89D230"/>
    <w:rsid w:val="6E9BC84A"/>
    <w:rsid w:val="6EA5BBFD"/>
    <w:rsid w:val="6EABB55F"/>
    <w:rsid w:val="6EC19C72"/>
    <w:rsid w:val="6EC316F5"/>
    <w:rsid w:val="6EC31A31"/>
    <w:rsid w:val="6EC47227"/>
    <w:rsid w:val="6EC7F27D"/>
    <w:rsid w:val="6ED07765"/>
    <w:rsid w:val="6ED40393"/>
    <w:rsid w:val="6ED55906"/>
    <w:rsid w:val="6ED68B43"/>
    <w:rsid w:val="6EDC8C3C"/>
    <w:rsid w:val="6EF8E285"/>
    <w:rsid w:val="6F13A3AF"/>
    <w:rsid w:val="6F1E5397"/>
    <w:rsid w:val="6F288004"/>
    <w:rsid w:val="6F28AB72"/>
    <w:rsid w:val="6F3BE33D"/>
    <w:rsid w:val="6F4137A5"/>
    <w:rsid w:val="6F45E577"/>
    <w:rsid w:val="6F5A5A5F"/>
    <w:rsid w:val="6F67247D"/>
    <w:rsid w:val="6F682CF8"/>
    <w:rsid w:val="6F6CB096"/>
    <w:rsid w:val="6F7FF179"/>
    <w:rsid w:val="6F846896"/>
    <w:rsid w:val="6FCFA5EC"/>
    <w:rsid w:val="6FDE68D2"/>
    <w:rsid w:val="6FE7E281"/>
    <w:rsid w:val="6FF7EE05"/>
    <w:rsid w:val="700040DC"/>
    <w:rsid w:val="7002D727"/>
    <w:rsid w:val="7029885B"/>
    <w:rsid w:val="7053034F"/>
    <w:rsid w:val="706169BA"/>
    <w:rsid w:val="706D25AA"/>
    <w:rsid w:val="70807D1E"/>
    <w:rsid w:val="70918D5F"/>
    <w:rsid w:val="7094BADD"/>
    <w:rsid w:val="70952982"/>
    <w:rsid w:val="70A4B3EA"/>
    <w:rsid w:val="70AAD78A"/>
    <w:rsid w:val="70BA8BAF"/>
    <w:rsid w:val="70C61C6B"/>
    <w:rsid w:val="70C6AFC7"/>
    <w:rsid w:val="70D9471C"/>
    <w:rsid w:val="70E3AA58"/>
    <w:rsid w:val="70F96225"/>
    <w:rsid w:val="71229134"/>
    <w:rsid w:val="71241631"/>
    <w:rsid w:val="71338DBC"/>
    <w:rsid w:val="7137FAB4"/>
    <w:rsid w:val="7138D706"/>
    <w:rsid w:val="713C5076"/>
    <w:rsid w:val="713F1301"/>
    <w:rsid w:val="7148ED71"/>
    <w:rsid w:val="7157AEEB"/>
    <w:rsid w:val="715A60B2"/>
    <w:rsid w:val="715BE043"/>
    <w:rsid w:val="715CC39E"/>
    <w:rsid w:val="7168A6FF"/>
    <w:rsid w:val="7180390B"/>
    <w:rsid w:val="718C9A1E"/>
    <w:rsid w:val="718DD93B"/>
    <w:rsid w:val="71960336"/>
    <w:rsid w:val="719A831A"/>
    <w:rsid w:val="719DA6B7"/>
    <w:rsid w:val="71B5790A"/>
    <w:rsid w:val="71B6B05A"/>
    <w:rsid w:val="71B803A5"/>
    <w:rsid w:val="71BFF1E6"/>
    <w:rsid w:val="71C16AF9"/>
    <w:rsid w:val="71C348C6"/>
    <w:rsid w:val="71CB6F2E"/>
    <w:rsid w:val="71DDFD09"/>
    <w:rsid w:val="71E2E51B"/>
    <w:rsid w:val="71EEDFC3"/>
    <w:rsid w:val="72123BA6"/>
    <w:rsid w:val="72196377"/>
    <w:rsid w:val="72217B45"/>
    <w:rsid w:val="723C96F9"/>
    <w:rsid w:val="7248323C"/>
    <w:rsid w:val="7248A201"/>
    <w:rsid w:val="7253C64F"/>
    <w:rsid w:val="725502A4"/>
    <w:rsid w:val="728FF34D"/>
    <w:rsid w:val="72A06CA0"/>
    <w:rsid w:val="72AEC218"/>
    <w:rsid w:val="72B291AA"/>
    <w:rsid w:val="72C706AA"/>
    <w:rsid w:val="72D733B9"/>
    <w:rsid w:val="72E0071D"/>
    <w:rsid w:val="72E574A2"/>
    <w:rsid w:val="72F9681B"/>
    <w:rsid w:val="72FA3028"/>
    <w:rsid w:val="73082184"/>
    <w:rsid w:val="730BC869"/>
    <w:rsid w:val="731C14D0"/>
    <w:rsid w:val="732A8440"/>
    <w:rsid w:val="732B4BD6"/>
    <w:rsid w:val="733995A7"/>
    <w:rsid w:val="733FF73A"/>
    <w:rsid w:val="7343C7E2"/>
    <w:rsid w:val="734B3E3B"/>
    <w:rsid w:val="734F7C72"/>
    <w:rsid w:val="73632235"/>
    <w:rsid w:val="73749292"/>
    <w:rsid w:val="73890492"/>
    <w:rsid w:val="7389C935"/>
    <w:rsid w:val="73941A77"/>
    <w:rsid w:val="73965E50"/>
    <w:rsid w:val="73AD8953"/>
    <w:rsid w:val="73BE9D5F"/>
    <w:rsid w:val="73D8B473"/>
    <w:rsid w:val="73E2C631"/>
    <w:rsid w:val="73E767E4"/>
    <w:rsid w:val="7412379F"/>
    <w:rsid w:val="7414DBCF"/>
    <w:rsid w:val="74238C25"/>
    <w:rsid w:val="742576FD"/>
    <w:rsid w:val="74284935"/>
    <w:rsid w:val="744AE623"/>
    <w:rsid w:val="7455FEDB"/>
    <w:rsid w:val="74734EF0"/>
    <w:rsid w:val="74759AB4"/>
    <w:rsid w:val="74A39215"/>
    <w:rsid w:val="74B71093"/>
    <w:rsid w:val="74BA4114"/>
    <w:rsid w:val="74C2027A"/>
    <w:rsid w:val="74CDE2CD"/>
    <w:rsid w:val="74CE585D"/>
    <w:rsid w:val="74CE90D3"/>
    <w:rsid w:val="74DB2AD7"/>
    <w:rsid w:val="74F86B99"/>
    <w:rsid w:val="75016D03"/>
    <w:rsid w:val="7508E147"/>
    <w:rsid w:val="751231AE"/>
    <w:rsid w:val="75330714"/>
    <w:rsid w:val="753540CC"/>
    <w:rsid w:val="753ABC58"/>
    <w:rsid w:val="75459B83"/>
    <w:rsid w:val="754C3BDF"/>
    <w:rsid w:val="754FADAF"/>
    <w:rsid w:val="7550354A"/>
    <w:rsid w:val="755CC5D8"/>
    <w:rsid w:val="756CD458"/>
    <w:rsid w:val="7572D12B"/>
    <w:rsid w:val="758DEC40"/>
    <w:rsid w:val="7596A58B"/>
    <w:rsid w:val="759BFFE9"/>
    <w:rsid w:val="759DCF43"/>
    <w:rsid w:val="75A298BC"/>
    <w:rsid w:val="75B57A7F"/>
    <w:rsid w:val="75B78A2A"/>
    <w:rsid w:val="75B7DB60"/>
    <w:rsid w:val="75B8B5F3"/>
    <w:rsid w:val="75B93C55"/>
    <w:rsid w:val="75C54B22"/>
    <w:rsid w:val="75C6EDE5"/>
    <w:rsid w:val="75CFC4BC"/>
    <w:rsid w:val="75D094BC"/>
    <w:rsid w:val="75D66819"/>
    <w:rsid w:val="75E00E89"/>
    <w:rsid w:val="75EEFB95"/>
    <w:rsid w:val="760B5E6C"/>
    <w:rsid w:val="761C4E00"/>
    <w:rsid w:val="7622D7A0"/>
    <w:rsid w:val="7625E7FA"/>
    <w:rsid w:val="762CD3FB"/>
    <w:rsid w:val="764C5E2F"/>
    <w:rsid w:val="765492A8"/>
    <w:rsid w:val="765E9F64"/>
    <w:rsid w:val="765EC072"/>
    <w:rsid w:val="7660151A"/>
    <w:rsid w:val="76793FF0"/>
    <w:rsid w:val="767ABF1A"/>
    <w:rsid w:val="7682574F"/>
    <w:rsid w:val="768C729A"/>
    <w:rsid w:val="769528CC"/>
    <w:rsid w:val="76B0A334"/>
    <w:rsid w:val="76B34756"/>
    <w:rsid w:val="76B6B027"/>
    <w:rsid w:val="76BCAA09"/>
    <w:rsid w:val="76C5A735"/>
    <w:rsid w:val="76D1F059"/>
    <w:rsid w:val="76D91B63"/>
    <w:rsid w:val="76D9D1EC"/>
    <w:rsid w:val="76F67D29"/>
    <w:rsid w:val="770095AF"/>
    <w:rsid w:val="77018C77"/>
    <w:rsid w:val="7710D4AA"/>
    <w:rsid w:val="7715D65B"/>
    <w:rsid w:val="772CEF62"/>
    <w:rsid w:val="773602F0"/>
    <w:rsid w:val="773862AA"/>
    <w:rsid w:val="7739DA2E"/>
    <w:rsid w:val="7759E797"/>
    <w:rsid w:val="775DB8C3"/>
    <w:rsid w:val="77665945"/>
    <w:rsid w:val="7768E561"/>
    <w:rsid w:val="7773BF78"/>
    <w:rsid w:val="7777C03D"/>
    <w:rsid w:val="77855D48"/>
    <w:rsid w:val="77A2F8DF"/>
    <w:rsid w:val="77A37083"/>
    <w:rsid w:val="77A3B22D"/>
    <w:rsid w:val="77B02568"/>
    <w:rsid w:val="77B8059C"/>
    <w:rsid w:val="77C802DF"/>
    <w:rsid w:val="77CB1804"/>
    <w:rsid w:val="77CC0CC9"/>
    <w:rsid w:val="77CCB838"/>
    <w:rsid w:val="77E8AF85"/>
    <w:rsid w:val="77EE0BC2"/>
    <w:rsid w:val="77EF736F"/>
    <w:rsid w:val="77FA562C"/>
    <w:rsid w:val="7813B891"/>
    <w:rsid w:val="781C0C4F"/>
    <w:rsid w:val="782AEA1A"/>
    <w:rsid w:val="782E18C2"/>
    <w:rsid w:val="7832DDE7"/>
    <w:rsid w:val="7838BFD8"/>
    <w:rsid w:val="783FB0F1"/>
    <w:rsid w:val="78462913"/>
    <w:rsid w:val="784F98F3"/>
    <w:rsid w:val="7856CC8B"/>
    <w:rsid w:val="78602D7F"/>
    <w:rsid w:val="78626D7D"/>
    <w:rsid w:val="789131C7"/>
    <w:rsid w:val="7896C7F8"/>
    <w:rsid w:val="789763F7"/>
    <w:rsid w:val="78A05660"/>
    <w:rsid w:val="78A4B0CA"/>
    <w:rsid w:val="78CA24BF"/>
    <w:rsid w:val="78D549FC"/>
    <w:rsid w:val="78D61391"/>
    <w:rsid w:val="78EA7C99"/>
    <w:rsid w:val="78FA2D55"/>
    <w:rsid w:val="791800BC"/>
    <w:rsid w:val="791C2034"/>
    <w:rsid w:val="791E9D4F"/>
    <w:rsid w:val="79203539"/>
    <w:rsid w:val="7926A58F"/>
    <w:rsid w:val="793C86B6"/>
    <w:rsid w:val="7942BA00"/>
    <w:rsid w:val="79441A4C"/>
    <w:rsid w:val="7952DF77"/>
    <w:rsid w:val="7955E9FF"/>
    <w:rsid w:val="7963E1E4"/>
    <w:rsid w:val="796C3924"/>
    <w:rsid w:val="7974BD55"/>
    <w:rsid w:val="797FF122"/>
    <w:rsid w:val="798551E7"/>
    <w:rsid w:val="79872DDB"/>
    <w:rsid w:val="7996A9D9"/>
    <w:rsid w:val="799BB97C"/>
    <w:rsid w:val="79A5D101"/>
    <w:rsid w:val="79B2C61E"/>
    <w:rsid w:val="79C783CE"/>
    <w:rsid w:val="79CBF1D3"/>
    <w:rsid w:val="79D4C7E4"/>
    <w:rsid w:val="79DAC1A8"/>
    <w:rsid w:val="79DFC7B6"/>
    <w:rsid w:val="79E63E51"/>
    <w:rsid w:val="79E7F642"/>
    <w:rsid w:val="79F02804"/>
    <w:rsid w:val="79F2BA17"/>
    <w:rsid w:val="7A107FFA"/>
    <w:rsid w:val="7A15B3B0"/>
    <w:rsid w:val="7A1F6FCE"/>
    <w:rsid w:val="7A2F1781"/>
    <w:rsid w:val="7A318044"/>
    <w:rsid w:val="7A35D3B0"/>
    <w:rsid w:val="7A4096E3"/>
    <w:rsid w:val="7A477FEB"/>
    <w:rsid w:val="7A50BF03"/>
    <w:rsid w:val="7A60E426"/>
    <w:rsid w:val="7A6EA016"/>
    <w:rsid w:val="7A866D2A"/>
    <w:rsid w:val="7A882AC4"/>
    <w:rsid w:val="7AA40C73"/>
    <w:rsid w:val="7AAD3394"/>
    <w:rsid w:val="7AB88588"/>
    <w:rsid w:val="7ABF4D8B"/>
    <w:rsid w:val="7AD6385E"/>
    <w:rsid w:val="7AD75D2C"/>
    <w:rsid w:val="7AF8877E"/>
    <w:rsid w:val="7AFB7520"/>
    <w:rsid w:val="7B1A04CE"/>
    <w:rsid w:val="7B1FCCCD"/>
    <w:rsid w:val="7B299184"/>
    <w:rsid w:val="7B3FBED1"/>
    <w:rsid w:val="7B4AAC0C"/>
    <w:rsid w:val="7B4C1962"/>
    <w:rsid w:val="7B4D3F45"/>
    <w:rsid w:val="7B6F0A34"/>
    <w:rsid w:val="7B714064"/>
    <w:rsid w:val="7B717C30"/>
    <w:rsid w:val="7B7AA521"/>
    <w:rsid w:val="7B7D234F"/>
    <w:rsid w:val="7B86E56E"/>
    <w:rsid w:val="7B9256B4"/>
    <w:rsid w:val="7B94107D"/>
    <w:rsid w:val="7B9D4E07"/>
    <w:rsid w:val="7B9D83C5"/>
    <w:rsid w:val="7BA1F654"/>
    <w:rsid w:val="7BB061FC"/>
    <w:rsid w:val="7BB1A4C6"/>
    <w:rsid w:val="7BB49440"/>
    <w:rsid w:val="7BCA688E"/>
    <w:rsid w:val="7BCF06E3"/>
    <w:rsid w:val="7BD6A1D0"/>
    <w:rsid w:val="7BE0AFB0"/>
    <w:rsid w:val="7BF9DF58"/>
    <w:rsid w:val="7C0C4A01"/>
    <w:rsid w:val="7C2CA793"/>
    <w:rsid w:val="7C37EC56"/>
    <w:rsid w:val="7C3837A1"/>
    <w:rsid w:val="7C413FB7"/>
    <w:rsid w:val="7C41BE55"/>
    <w:rsid w:val="7C552297"/>
    <w:rsid w:val="7C5DB479"/>
    <w:rsid w:val="7C5EB03C"/>
    <w:rsid w:val="7C620DBD"/>
    <w:rsid w:val="7C62466E"/>
    <w:rsid w:val="7C69916F"/>
    <w:rsid w:val="7C70271C"/>
    <w:rsid w:val="7C7083F6"/>
    <w:rsid w:val="7C7320E6"/>
    <w:rsid w:val="7C8F3C8A"/>
    <w:rsid w:val="7C8F5363"/>
    <w:rsid w:val="7C91E55B"/>
    <w:rsid w:val="7C97DA35"/>
    <w:rsid w:val="7C990AB0"/>
    <w:rsid w:val="7CB21A77"/>
    <w:rsid w:val="7CCB8DB4"/>
    <w:rsid w:val="7CE65DDB"/>
    <w:rsid w:val="7CE84791"/>
    <w:rsid w:val="7CED84C1"/>
    <w:rsid w:val="7CF9DB0E"/>
    <w:rsid w:val="7D03E17D"/>
    <w:rsid w:val="7D127D8D"/>
    <w:rsid w:val="7D1C3926"/>
    <w:rsid w:val="7D2D5277"/>
    <w:rsid w:val="7D33A5E6"/>
    <w:rsid w:val="7D39F4C8"/>
    <w:rsid w:val="7D4BED7B"/>
    <w:rsid w:val="7D5066BB"/>
    <w:rsid w:val="7D52994D"/>
    <w:rsid w:val="7D5EB84F"/>
    <w:rsid w:val="7D6293B3"/>
    <w:rsid w:val="7D6AA7EA"/>
    <w:rsid w:val="7D6E560B"/>
    <w:rsid w:val="7D6E9435"/>
    <w:rsid w:val="7D73EDDF"/>
    <w:rsid w:val="7D79C8E1"/>
    <w:rsid w:val="7D816E0F"/>
    <w:rsid w:val="7D867F14"/>
    <w:rsid w:val="7D903D19"/>
    <w:rsid w:val="7D94ABE9"/>
    <w:rsid w:val="7D9990FA"/>
    <w:rsid w:val="7DA16635"/>
    <w:rsid w:val="7DD44B91"/>
    <w:rsid w:val="7DDB8DF4"/>
    <w:rsid w:val="7DDCF035"/>
    <w:rsid w:val="7DDD4006"/>
    <w:rsid w:val="7DED7C73"/>
    <w:rsid w:val="7DFC73B2"/>
    <w:rsid w:val="7DFD46DF"/>
    <w:rsid w:val="7E0EB7A3"/>
    <w:rsid w:val="7E137E23"/>
    <w:rsid w:val="7E1C75F3"/>
    <w:rsid w:val="7E258D6D"/>
    <w:rsid w:val="7E263A9E"/>
    <w:rsid w:val="7E2D88CF"/>
    <w:rsid w:val="7E302840"/>
    <w:rsid w:val="7E3C89D7"/>
    <w:rsid w:val="7E496782"/>
    <w:rsid w:val="7E4F0A68"/>
    <w:rsid w:val="7E60B77B"/>
    <w:rsid w:val="7E61F1B6"/>
    <w:rsid w:val="7E624E70"/>
    <w:rsid w:val="7E63D74C"/>
    <w:rsid w:val="7E74116B"/>
    <w:rsid w:val="7E856CCF"/>
    <w:rsid w:val="7E972DAB"/>
    <w:rsid w:val="7EA21F82"/>
    <w:rsid w:val="7EA3CE6A"/>
    <w:rsid w:val="7EA9B663"/>
    <w:rsid w:val="7EA9BC1A"/>
    <w:rsid w:val="7EAAB3A1"/>
    <w:rsid w:val="7EB205D6"/>
    <w:rsid w:val="7EC810BF"/>
    <w:rsid w:val="7EC9EDF4"/>
    <w:rsid w:val="7EDAAE03"/>
    <w:rsid w:val="7EF1FBF9"/>
    <w:rsid w:val="7EFF2E20"/>
    <w:rsid w:val="7F0A0E64"/>
    <w:rsid w:val="7F1C8CDB"/>
    <w:rsid w:val="7F20D991"/>
    <w:rsid w:val="7F24D0D4"/>
    <w:rsid w:val="7F2EFBDE"/>
    <w:rsid w:val="7F62A36A"/>
    <w:rsid w:val="7F7CB12B"/>
    <w:rsid w:val="7F7ECDF3"/>
    <w:rsid w:val="7F8F17D4"/>
    <w:rsid w:val="7FA407CD"/>
    <w:rsid w:val="7FA6F041"/>
    <w:rsid w:val="7FB59002"/>
    <w:rsid w:val="7FD3EAB4"/>
    <w:rsid w:val="7FDF2338"/>
    <w:rsid w:val="7FE3362D"/>
    <w:rsid w:val="7FF2C00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7124EE"/>
  <w15:chartTrackingRefBased/>
  <w15:docId w15:val="{0A3E33A6-7B48-48C3-B5D3-4AEE9D6D4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987"/>
  </w:style>
  <w:style w:type="paragraph" w:styleId="Heading1">
    <w:name w:val="heading 1"/>
    <w:basedOn w:val="Normal"/>
    <w:next w:val="Normal"/>
    <w:link w:val="Heading1Char"/>
    <w:uiPriority w:val="9"/>
    <w:qFormat/>
    <w:rsid w:val="00435CBE"/>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unhideWhenUsed/>
    <w:qFormat/>
    <w:rsid w:val="003C45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66F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estikeelnenormaal">
    <w:name w:val="A-eesti keelne normaal"/>
    <w:basedOn w:val="Normal"/>
    <w:qFormat/>
    <w:rsid w:val="007F05B3"/>
    <w:pPr>
      <w:spacing w:after="0" w:line="360" w:lineRule="auto"/>
      <w:jc w:val="both"/>
    </w:pPr>
    <w:rPr>
      <w:rFonts w:ascii="Times New Roman" w:eastAsia="Times New Roman" w:hAnsi="Times New Roman" w:cs="Times New Roman"/>
      <w:color w:val="000000" w:themeColor="text1"/>
      <w:sz w:val="24"/>
      <w:szCs w:val="24"/>
    </w:rPr>
  </w:style>
  <w:style w:type="paragraph" w:customStyle="1" w:styleId="A-inglkeelnormaal">
    <w:name w:val="A-ingl keel normaal"/>
    <w:basedOn w:val="A-eestikeelnenormaal"/>
    <w:qFormat/>
    <w:rsid w:val="007F05B3"/>
    <w:rPr>
      <w:lang w:val="en-GB"/>
    </w:rPr>
  </w:style>
  <w:style w:type="character" w:styleId="CommentReference">
    <w:name w:val="annotation reference"/>
    <w:basedOn w:val="DefaultParagraphFont"/>
    <w:uiPriority w:val="99"/>
    <w:semiHidden/>
    <w:unhideWhenUsed/>
    <w:rsid w:val="00624BA6"/>
    <w:rPr>
      <w:sz w:val="16"/>
      <w:szCs w:val="16"/>
    </w:rPr>
  </w:style>
  <w:style w:type="paragraph" w:styleId="CommentText">
    <w:name w:val="annotation text"/>
    <w:basedOn w:val="Normal"/>
    <w:link w:val="CommentTextChar"/>
    <w:uiPriority w:val="99"/>
    <w:unhideWhenUsed/>
    <w:rsid w:val="00624BA6"/>
    <w:pPr>
      <w:spacing w:line="240" w:lineRule="auto"/>
    </w:pPr>
    <w:rPr>
      <w:sz w:val="20"/>
      <w:szCs w:val="20"/>
    </w:rPr>
  </w:style>
  <w:style w:type="character" w:customStyle="1" w:styleId="CommentTextChar">
    <w:name w:val="Comment Text Char"/>
    <w:basedOn w:val="DefaultParagraphFont"/>
    <w:link w:val="CommentText"/>
    <w:uiPriority w:val="99"/>
    <w:rsid w:val="00624BA6"/>
    <w:rPr>
      <w:sz w:val="20"/>
      <w:szCs w:val="20"/>
    </w:rPr>
  </w:style>
  <w:style w:type="paragraph" w:styleId="CommentSubject">
    <w:name w:val="annotation subject"/>
    <w:basedOn w:val="CommentText"/>
    <w:next w:val="CommentText"/>
    <w:link w:val="CommentSubjectChar"/>
    <w:uiPriority w:val="99"/>
    <w:semiHidden/>
    <w:unhideWhenUsed/>
    <w:rsid w:val="00624BA6"/>
    <w:rPr>
      <w:b/>
      <w:bCs/>
    </w:rPr>
  </w:style>
  <w:style w:type="character" w:customStyle="1" w:styleId="CommentSubjectChar">
    <w:name w:val="Comment Subject Char"/>
    <w:basedOn w:val="CommentTextChar"/>
    <w:link w:val="CommentSubject"/>
    <w:uiPriority w:val="99"/>
    <w:semiHidden/>
    <w:rsid w:val="00624BA6"/>
    <w:rPr>
      <w:b/>
      <w:bCs/>
      <w:sz w:val="20"/>
      <w:szCs w:val="20"/>
    </w:rPr>
  </w:style>
  <w:style w:type="paragraph" w:styleId="BalloonText">
    <w:name w:val="Balloon Text"/>
    <w:basedOn w:val="Normal"/>
    <w:link w:val="BalloonTextChar"/>
    <w:uiPriority w:val="99"/>
    <w:semiHidden/>
    <w:unhideWhenUsed/>
    <w:rsid w:val="00624B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BA6"/>
    <w:rPr>
      <w:rFonts w:ascii="Segoe UI" w:hAnsi="Segoe UI" w:cs="Segoe UI"/>
      <w:sz w:val="18"/>
      <w:szCs w:val="18"/>
    </w:rPr>
  </w:style>
  <w:style w:type="character" w:customStyle="1" w:styleId="Heading1Char">
    <w:name w:val="Heading 1 Char"/>
    <w:basedOn w:val="DefaultParagraphFont"/>
    <w:link w:val="Heading1"/>
    <w:uiPriority w:val="9"/>
    <w:rsid w:val="00435CBE"/>
    <w:rPr>
      <w:rFonts w:asciiTheme="majorHAnsi" w:eastAsiaTheme="majorEastAsia" w:hAnsiTheme="majorHAnsi" w:cstheme="majorBidi"/>
      <w:color w:val="2F5496" w:themeColor="accent1" w:themeShade="BF"/>
      <w:sz w:val="32"/>
      <w:szCs w:val="32"/>
      <w:lang w:val="en-US"/>
    </w:rPr>
  </w:style>
  <w:style w:type="table" w:styleId="GridTable5Dark-Accent5">
    <w:name w:val="Grid Table 5 Dark Accent 5"/>
    <w:basedOn w:val="TableNormal"/>
    <w:uiPriority w:val="50"/>
    <w:rsid w:val="00435CBE"/>
    <w:pPr>
      <w:spacing w:after="0" w:line="240" w:lineRule="auto"/>
    </w:pPr>
    <w:rPr>
      <w:sz w:val="24"/>
      <w:szCs w:val="24"/>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435CBE"/>
    <w:pPr>
      <w:ind w:left="720"/>
      <w:contextualSpacing/>
    </w:pPr>
    <w:rPr>
      <w:rFonts w:ascii="Times New Roman" w:eastAsia="Times New Roman" w:hAnsi="Times New Roman" w:cs="Times New Roman"/>
      <w:lang w:val="en-US"/>
    </w:rPr>
  </w:style>
  <w:style w:type="character" w:styleId="Hyperlink">
    <w:name w:val="Hyperlink"/>
    <w:basedOn w:val="DefaultParagraphFont"/>
    <w:uiPriority w:val="99"/>
    <w:unhideWhenUsed/>
    <w:rsid w:val="00435CBE"/>
    <w:rPr>
      <w:color w:val="0563C1" w:themeColor="hyperlink"/>
      <w:u w:val="single"/>
    </w:rPr>
  </w:style>
  <w:style w:type="paragraph" w:styleId="FootnoteText">
    <w:name w:val="footnote text"/>
    <w:basedOn w:val="Normal"/>
    <w:link w:val="FootnoteTextChar"/>
    <w:uiPriority w:val="99"/>
    <w:semiHidden/>
    <w:unhideWhenUsed/>
    <w:rsid w:val="00435CBE"/>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435CB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435CBE"/>
    <w:rPr>
      <w:vertAlign w:val="superscript"/>
    </w:rPr>
  </w:style>
  <w:style w:type="character" w:customStyle="1" w:styleId="Heading2Char">
    <w:name w:val="Heading 2 Char"/>
    <w:basedOn w:val="DefaultParagraphFont"/>
    <w:link w:val="Heading2"/>
    <w:uiPriority w:val="9"/>
    <w:rsid w:val="003C4590"/>
    <w:rPr>
      <w:rFonts w:asciiTheme="majorHAnsi" w:eastAsiaTheme="majorEastAsia" w:hAnsiTheme="majorHAnsi" w:cstheme="majorBidi"/>
      <w:color w:val="2F5496" w:themeColor="accent1" w:themeShade="BF"/>
      <w:sz w:val="26"/>
      <w:szCs w:val="26"/>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link w:val="ListParagraph"/>
    <w:uiPriority w:val="34"/>
    <w:locked/>
    <w:rsid w:val="003C4590"/>
    <w:rPr>
      <w:rFonts w:ascii="Times New Roman" w:eastAsia="Times New Roman" w:hAnsi="Times New Roman" w:cs="Times New Roman"/>
      <w:lang w:val="en-US"/>
    </w:rPr>
  </w:style>
  <w:style w:type="paragraph" w:styleId="EndnoteText">
    <w:name w:val="endnote text"/>
    <w:basedOn w:val="Normal"/>
    <w:link w:val="EndnoteTextChar"/>
    <w:uiPriority w:val="99"/>
    <w:semiHidden/>
    <w:unhideWhenUsed/>
    <w:rsid w:val="00FC00C6"/>
    <w:pPr>
      <w:spacing w:after="0" w:line="240" w:lineRule="auto"/>
      <w:jc w:val="both"/>
    </w:pPr>
    <w:rPr>
      <w:sz w:val="20"/>
      <w:szCs w:val="20"/>
      <w:lang w:val="en-GB"/>
    </w:rPr>
  </w:style>
  <w:style w:type="character" w:customStyle="1" w:styleId="EndnoteTextChar">
    <w:name w:val="Endnote Text Char"/>
    <w:basedOn w:val="DefaultParagraphFont"/>
    <w:link w:val="EndnoteText"/>
    <w:uiPriority w:val="99"/>
    <w:semiHidden/>
    <w:rsid w:val="00FC00C6"/>
    <w:rPr>
      <w:sz w:val="20"/>
      <w:szCs w:val="20"/>
      <w:lang w:val="en-GB"/>
    </w:rPr>
  </w:style>
  <w:style w:type="character" w:styleId="EndnoteReference">
    <w:name w:val="endnote reference"/>
    <w:basedOn w:val="DefaultParagraphFont"/>
    <w:uiPriority w:val="99"/>
    <w:semiHidden/>
    <w:unhideWhenUsed/>
    <w:rsid w:val="00FC00C6"/>
    <w:rPr>
      <w:vertAlign w:val="superscript"/>
    </w:rPr>
  </w:style>
  <w:style w:type="paragraph" w:styleId="Header">
    <w:name w:val="header"/>
    <w:basedOn w:val="Normal"/>
    <w:link w:val="HeaderChar"/>
    <w:uiPriority w:val="99"/>
    <w:unhideWhenUsed/>
    <w:rsid w:val="005969A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969A1"/>
  </w:style>
  <w:style w:type="paragraph" w:styleId="Footer">
    <w:name w:val="footer"/>
    <w:basedOn w:val="Normal"/>
    <w:link w:val="FooterChar"/>
    <w:uiPriority w:val="99"/>
    <w:unhideWhenUsed/>
    <w:rsid w:val="005969A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969A1"/>
  </w:style>
  <w:style w:type="table" w:styleId="TableGrid">
    <w:name w:val="Table Grid"/>
    <w:basedOn w:val="TableNormal"/>
    <w:uiPriority w:val="59"/>
    <w:rsid w:val="004A72A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rsid w:val="00866FDD"/>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0455A7"/>
    <w:pPr>
      <w:outlineLvl w:val="9"/>
    </w:pPr>
    <w:rPr>
      <w:lang w:val="et-EE" w:eastAsia="et-EE"/>
    </w:rPr>
  </w:style>
  <w:style w:type="paragraph" w:styleId="TOC1">
    <w:name w:val="toc 1"/>
    <w:basedOn w:val="Normal"/>
    <w:next w:val="Normal"/>
    <w:autoRedefine/>
    <w:uiPriority w:val="39"/>
    <w:unhideWhenUsed/>
    <w:rsid w:val="000455A7"/>
    <w:pPr>
      <w:spacing w:after="100"/>
    </w:pPr>
  </w:style>
  <w:style w:type="paragraph" w:styleId="TOC2">
    <w:name w:val="toc 2"/>
    <w:basedOn w:val="Normal"/>
    <w:next w:val="Normal"/>
    <w:autoRedefine/>
    <w:uiPriority w:val="39"/>
    <w:unhideWhenUsed/>
    <w:rsid w:val="000455A7"/>
    <w:pPr>
      <w:spacing w:after="100"/>
      <w:ind w:left="220"/>
    </w:pPr>
  </w:style>
  <w:style w:type="paragraph" w:styleId="TOC3">
    <w:name w:val="toc 3"/>
    <w:basedOn w:val="Normal"/>
    <w:next w:val="Normal"/>
    <w:autoRedefine/>
    <w:uiPriority w:val="39"/>
    <w:unhideWhenUsed/>
    <w:rsid w:val="000455A7"/>
    <w:pPr>
      <w:spacing w:after="100"/>
      <w:ind w:left="440"/>
    </w:pPr>
  </w:style>
  <w:style w:type="paragraph" w:customStyle="1" w:styleId="Default">
    <w:name w:val="Default"/>
    <w:rsid w:val="0042088E"/>
    <w:pPr>
      <w:autoSpaceDE w:val="0"/>
      <w:autoSpaceDN w:val="0"/>
      <w:adjustRightInd w:val="0"/>
      <w:spacing w:after="0" w:line="240" w:lineRule="auto"/>
    </w:pPr>
    <w:rPr>
      <w:rFonts w:ascii="Calibri" w:eastAsiaTheme="minorEastAsia" w:hAnsi="Calibri" w:cs="Calibri"/>
      <w:color w:val="000000"/>
      <w:sz w:val="24"/>
      <w:szCs w:val="24"/>
      <w:lang w:val="en-GB" w:eastAsia="zh-CN"/>
    </w:rPr>
  </w:style>
  <w:style w:type="table" w:styleId="GridTable4-Accent1">
    <w:name w:val="Grid Table 4 Accent 1"/>
    <w:basedOn w:val="TableNormal"/>
    <w:uiPriority w:val="49"/>
    <w:rsid w:val="00B018D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uiPriority w:val="49"/>
    <w:rsid w:val="00B018DC"/>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NoSpacing">
    <w:name w:val="No Spacing"/>
    <w:uiPriority w:val="1"/>
    <w:qFormat/>
    <w:rsid w:val="00A856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776839">
      <w:bodyDiv w:val="1"/>
      <w:marLeft w:val="0"/>
      <w:marRight w:val="0"/>
      <w:marTop w:val="0"/>
      <w:marBottom w:val="0"/>
      <w:divBdr>
        <w:top w:val="none" w:sz="0" w:space="0" w:color="auto"/>
        <w:left w:val="none" w:sz="0" w:space="0" w:color="auto"/>
        <w:bottom w:val="none" w:sz="0" w:space="0" w:color="auto"/>
        <w:right w:val="none" w:sz="0" w:space="0" w:color="auto"/>
      </w:divBdr>
    </w:div>
    <w:div w:id="202131705">
      <w:bodyDiv w:val="1"/>
      <w:marLeft w:val="0"/>
      <w:marRight w:val="0"/>
      <w:marTop w:val="0"/>
      <w:marBottom w:val="0"/>
      <w:divBdr>
        <w:top w:val="none" w:sz="0" w:space="0" w:color="auto"/>
        <w:left w:val="none" w:sz="0" w:space="0" w:color="auto"/>
        <w:bottom w:val="none" w:sz="0" w:space="0" w:color="auto"/>
        <w:right w:val="none" w:sz="0" w:space="0" w:color="auto"/>
      </w:divBdr>
    </w:div>
    <w:div w:id="275798363">
      <w:bodyDiv w:val="1"/>
      <w:marLeft w:val="0"/>
      <w:marRight w:val="0"/>
      <w:marTop w:val="0"/>
      <w:marBottom w:val="0"/>
      <w:divBdr>
        <w:top w:val="none" w:sz="0" w:space="0" w:color="auto"/>
        <w:left w:val="none" w:sz="0" w:space="0" w:color="auto"/>
        <w:bottom w:val="none" w:sz="0" w:space="0" w:color="auto"/>
        <w:right w:val="none" w:sz="0" w:space="0" w:color="auto"/>
      </w:divBdr>
    </w:div>
    <w:div w:id="404422982">
      <w:bodyDiv w:val="1"/>
      <w:marLeft w:val="0"/>
      <w:marRight w:val="0"/>
      <w:marTop w:val="0"/>
      <w:marBottom w:val="0"/>
      <w:divBdr>
        <w:top w:val="none" w:sz="0" w:space="0" w:color="auto"/>
        <w:left w:val="none" w:sz="0" w:space="0" w:color="auto"/>
        <w:bottom w:val="none" w:sz="0" w:space="0" w:color="auto"/>
        <w:right w:val="none" w:sz="0" w:space="0" w:color="auto"/>
      </w:divBdr>
    </w:div>
    <w:div w:id="428352935">
      <w:bodyDiv w:val="1"/>
      <w:marLeft w:val="0"/>
      <w:marRight w:val="0"/>
      <w:marTop w:val="0"/>
      <w:marBottom w:val="0"/>
      <w:divBdr>
        <w:top w:val="none" w:sz="0" w:space="0" w:color="auto"/>
        <w:left w:val="none" w:sz="0" w:space="0" w:color="auto"/>
        <w:bottom w:val="none" w:sz="0" w:space="0" w:color="auto"/>
        <w:right w:val="none" w:sz="0" w:space="0" w:color="auto"/>
      </w:divBdr>
    </w:div>
    <w:div w:id="707220056">
      <w:bodyDiv w:val="1"/>
      <w:marLeft w:val="0"/>
      <w:marRight w:val="0"/>
      <w:marTop w:val="0"/>
      <w:marBottom w:val="0"/>
      <w:divBdr>
        <w:top w:val="none" w:sz="0" w:space="0" w:color="auto"/>
        <w:left w:val="none" w:sz="0" w:space="0" w:color="auto"/>
        <w:bottom w:val="none" w:sz="0" w:space="0" w:color="auto"/>
        <w:right w:val="none" w:sz="0" w:space="0" w:color="auto"/>
      </w:divBdr>
    </w:div>
    <w:div w:id="889457884">
      <w:bodyDiv w:val="1"/>
      <w:marLeft w:val="0"/>
      <w:marRight w:val="0"/>
      <w:marTop w:val="0"/>
      <w:marBottom w:val="0"/>
      <w:divBdr>
        <w:top w:val="none" w:sz="0" w:space="0" w:color="auto"/>
        <w:left w:val="none" w:sz="0" w:space="0" w:color="auto"/>
        <w:bottom w:val="none" w:sz="0" w:space="0" w:color="auto"/>
        <w:right w:val="none" w:sz="0" w:space="0" w:color="auto"/>
      </w:divBdr>
    </w:div>
    <w:div w:id="980378714">
      <w:bodyDiv w:val="1"/>
      <w:marLeft w:val="0"/>
      <w:marRight w:val="0"/>
      <w:marTop w:val="0"/>
      <w:marBottom w:val="0"/>
      <w:divBdr>
        <w:top w:val="none" w:sz="0" w:space="0" w:color="auto"/>
        <w:left w:val="none" w:sz="0" w:space="0" w:color="auto"/>
        <w:bottom w:val="none" w:sz="0" w:space="0" w:color="auto"/>
        <w:right w:val="none" w:sz="0" w:space="0" w:color="auto"/>
      </w:divBdr>
    </w:div>
    <w:div w:id="1019358901">
      <w:bodyDiv w:val="1"/>
      <w:marLeft w:val="0"/>
      <w:marRight w:val="0"/>
      <w:marTop w:val="0"/>
      <w:marBottom w:val="0"/>
      <w:divBdr>
        <w:top w:val="none" w:sz="0" w:space="0" w:color="auto"/>
        <w:left w:val="none" w:sz="0" w:space="0" w:color="auto"/>
        <w:bottom w:val="none" w:sz="0" w:space="0" w:color="auto"/>
        <w:right w:val="none" w:sz="0" w:space="0" w:color="auto"/>
      </w:divBdr>
    </w:div>
    <w:div w:id="1209956861">
      <w:bodyDiv w:val="1"/>
      <w:marLeft w:val="0"/>
      <w:marRight w:val="0"/>
      <w:marTop w:val="0"/>
      <w:marBottom w:val="0"/>
      <w:divBdr>
        <w:top w:val="none" w:sz="0" w:space="0" w:color="auto"/>
        <w:left w:val="none" w:sz="0" w:space="0" w:color="auto"/>
        <w:bottom w:val="none" w:sz="0" w:space="0" w:color="auto"/>
        <w:right w:val="none" w:sz="0" w:space="0" w:color="auto"/>
      </w:divBdr>
    </w:div>
    <w:div w:id="1223519789">
      <w:bodyDiv w:val="1"/>
      <w:marLeft w:val="0"/>
      <w:marRight w:val="0"/>
      <w:marTop w:val="0"/>
      <w:marBottom w:val="0"/>
      <w:divBdr>
        <w:top w:val="none" w:sz="0" w:space="0" w:color="auto"/>
        <w:left w:val="none" w:sz="0" w:space="0" w:color="auto"/>
        <w:bottom w:val="none" w:sz="0" w:space="0" w:color="auto"/>
        <w:right w:val="none" w:sz="0" w:space="0" w:color="auto"/>
      </w:divBdr>
    </w:div>
    <w:div w:id="1252812845">
      <w:bodyDiv w:val="1"/>
      <w:marLeft w:val="0"/>
      <w:marRight w:val="0"/>
      <w:marTop w:val="0"/>
      <w:marBottom w:val="0"/>
      <w:divBdr>
        <w:top w:val="none" w:sz="0" w:space="0" w:color="auto"/>
        <w:left w:val="none" w:sz="0" w:space="0" w:color="auto"/>
        <w:bottom w:val="none" w:sz="0" w:space="0" w:color="auto"/>
        <w:right w:val="none" w:sz="0" w:space="0" w:color="auto"/>
      </w:divBdr>
    </w:div>
    <w:div w:id="1273168534">
      <w:bodyDiv w:val="1"/>
      <w:marLeft w:val="0"/>
      <w:marRight w:val="0"/>
      <w:marTop w:val="0"/>
      <w:marBottom w:val="0"/>
      <w:divBdr>
        <w:top w:val="none" w:sz="0" w:space="0" w:color="auto"/>
        <w:left w:val="none" w:sz="0" w:space="0" w:color="auto"/>
        <w:bottom w:val="none" w:sz="0" w:space="0" w:color="auto"/>
        <w:right w:val="none" w:sz="0" w:space="0" w:color="auto"/>
      </w:divBdr>
    </w:div>
    <w:div w:id="1351296671">
      <w:bodyDiv w:val="1"/>
      <w:marLeft w:val="0"/>
      <w:marRight w:val="0"/>
      <w:marTop w:val="0"/>
      <w:marBottom w:val="0"/>
      <w:divBdr>
        <w:top w:val="none" w:sz="0" w:space="0" w:color="auto"/>
        <w:left w:val="none" w:sz="0" w:space="0" w:color="auto"/>
        <w:bottom w:val="none" w:sz="0" w:space="0" w:color="auto"/>
        <w:right w:val="none" w:sz="0" w:space="0" w:color="auto"/>
      </w:divBdr>
    </w:div>
    <w:div w:id="1484812714">
      <w:bodyDiv w:val="1"/>
      <w:marLeft w:val="0"/>
      <w:marRight w:val="0"/>
      <w:marTop w:val="0"/>
      <w:marBottom w:val="0"/>
      <w:divBdr>
        <w:top w:val="none" w:sz="0" w:space="0" w:color="auto"/>
        <w:left w:val="none" w:sz="0" w:space="0" w:color="auto"/>
        <w:bottom w:val="none" w:sz="0" w:space="0" w:color="auto"/>
        <w:right w:val="none" w:sz="0" w:space="0" w:color="auto"/>
      </w:divBdr>
    </w:div>
    <w:div w:id="1543059001">
      <w:bodyDiv w:val="1"/>
      <w:marLeft w:val="0"/>
      <w:marRight w:val="0"/>
      <w:marTop w:val="0"/>
      <w:marBottom w:val="0"/>
      <w:divBdr>
        <w:top w:val="none" w:sz="0" w:space="0" w:color="auto"/>
        <w:left w:val="none" w:sz="0" w:space="0" w:color="auto"/>
        <w:bottom w:val="none" w:sz="0" w:space="0" w:color="auto"/>
        <w:right w:val="none" w:sz="0" w:space="0" w:color="auto"/>
      </w:divBdr>
    </w:div>
    <w:div w:id="1606419897">
      <w:bodyDiv w:val="1"/>
      <w:marLeft w:val="0"/>
      <w:marRight w:val="0"/>
      <w:marTop w:val="0"/>
      <w:marBottom w:val="0"/>
      <w:divBdr>
        <w:top w:val="none" w:sz="0" w:space="0" w:color="auto"/>
        <w:left w:val="none" w:sz="0" w:space="0" w:color="auto"/>
        <w:bottom w:val="none" w:sz="0" w:space="0" w:color="auto"/>
        <w:right w:val="none" w:sz="0" w:space="0" w:color="auto"/>
      </w:divBdr>
    </w:div>
    <w:div w:id="1868369060">
      <w:bodyDiv w:val="1"/>
      <w:marLeft w:val="0"/>
      <w:marRight w:val="0"/>
      <w:marTop w:val="0"/>
      <w:marBottom w:val="0"/>
      <w:divBdr>
        <w:top w:val="none" w:sz="0" w:space="0" w:color="auto"/>
        <w:left w:val="none" w:sz="0" w:space="0" w:color="auto"/>
        <w:bottom w:val="none" w:sz="0" w:space="0" w:color="auto"/>
        <w:right w:val="none" w:sz="0" w:space="0" w:color="auto"/>
      </w:divBdr>
    </w:div>
    <w:div w:id="1922375395">
      <w:bodyDiv w:val="1"/>
      <w:marLeft w:val="0"/>
      <w:marRight w:val="0"/>
      <w:marTop w:val="0"/>
      <w:marBottom w:val="0"/>
      <w:divBdr>
        <w:top w:val="none" w:sz="0" w:space="0" w:color="auto"/>
        <w:left w:val="none" w:sz="0" w:space="0" w:color="auto"/>
        <w:bottom w:val="none" w:sz="0" w:space="0" w:color="auto"/>
        <w:right w:val="none" w:sz="0" w:space="0" w:color="auto"/>
      </w:divBdr>
    </w:div>
    <w:div w:id="1960453284">
      <w:bodyDiv w:val="1"/>
      <w:marLeft w:val="0"/>
      <w:marRight w:val="0"/>
      <w:marTop w:val="0"/>
      <w:marBottom w:val="0"/>
      <w:divBdr>
        <w:top w:val="none" w:sz="0" w:space="0" w:color="auto"/>
        <w:left w:val="none" w:sz="0" w:space="0" w:color="auto"/>
        <w:bottom w:val="none" w:sz="0" w:space="0" w:color="auto"/>
        <w:right w:val="none" w:sz="0" w:space="0" w:color="auto"/>
      </w:divBdr>
    </w:div>
    <w:div w:id="21161659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chart" Target="charts/chart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microsoft.com/office/2014/relationships/chartEx" Target="charts/chartEx1.xml"/><Relationship Id="rId17" Type="http://schemas.openxmlformats.org/officeDocument/2006/relationships/chart" Target="charts/chart2.xml"/><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hart" Target="charts/chart4.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4/relationships/chartEx" Target="charts/chartEx2.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oleObject" Target="file:///\\riik.sise\user\somuser$\kaija.kasekamp\Isiklik\Georgia\MoSA%20data\Faili%20Summary%20PHC%20data_20.12.2020%20koopia.xlsx" TargetMode="External"/><Relationship Id="rId2" Type="http://schemas.microsoft.com/office/2011/relationships/chartColorStyle" Target="colors3.xml"/><Relationship Id="rId1" Type="http://schemas.microsoft.com/office/2011/relationships/chartStyle" Target="style3.xml"/></Relationships>
</file>

<file path=word/charts/_rels/chart2.xml.rels><?xml version="1.0" encoding="UTF-8" standalone="yes"?>
<Relationships xmlns="http://schemas.openxmlformats.org/package/2006/relationships"><Relationship Id="rId3" Type="http://schemas.openxmlformats.org/officeDocument/2006/relationships/oleObject" Target="file:///\\riik.sise\user\somuser$\kaija.kasekamp\Isiklik\Georgia\MoSA%20data\Faili%20Summary%20PHC%20data_20.12.2020%20koopia.xlsx" TargetMode="External"/><Relationship Id="rId2" Type="http://schemas.microsoft.com/office/2011/relationships/chartColorStyle" Target="colors4.xml"/><Relationship Id="rId1" Type="http://schemas.microsoft.com/office/2011/relationships/chartStyle" Target="style4.xml"/></Relationships>
</file>

<file path=word/charts/_rels/chart3.xml.rels><?xml version="1.0" encoding="UTF-8" standalone="yes"?>
<Relationships xmlns="http://schemas.openxmlformats.org/package/2006/relationships"><Relationship Id="rId3" Type="http://schemas.openxmlformats.org/officeDocument/2006/relationships/oleObject" Target="https://worldhealthorg.sharepoint.com/sites/EuroGEOPHC/Shared%20Documents/General/PHC%20Roadmap/PHC_payment_model_Georgia_GP_04_01.xlsx" TargetMode="External"/><Relationship Id="rId2" Type="http://schemas.microsoft.com/office/2011/relationships/chartColorStyle" Target="colors5.xml"/><Relationship Id="rId1" Type="http://schemas.microsoft.com/office/2011/relationships/chartStyle" Target="style5.xml"/></Relationships>
</file>

<file path=word/charts/_rels/chart4.xml.rels><?xml version="1.0" encoding="UTF-8" standalone="yes"?>
<Relationships xmlns="http://schemas.openxmlformats.org/package/2006/relationships"><Relationship Id="rId3" Type="http://schemas.openxmlformats.org/officeDocument/2006/relationships/oleObject" Target="https://worldhealthorg.sharepoint.com/sites/EuroGEOPHC/Shared%20Documents/General/PHC%20Roadmap/PHC_payment_model_Georgia_GP_04_01.xlsx" TargetMode="External"/><Relationship Id="rId2" Type="http://schemas.microsoft.com/office/2011/relationships/chartColorStyle" Target="colors6.xml"/><Relationship Id="rId1" Type="http://schemas.microsoft.com/office/2011/relationships/chartStyle" Target="style6.xml"/></Relationships>
</file>

<file path=word/charts/_rels/chartEx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_rels/chartEx2.xml.rels><?xml version="1.0" encoding="UTF-8" standalone="yes"?>
<Relationships xmlns="http://schemas.openxmlformats.org/package/2006/relationships"><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sz="1000"/>
              <a:t>FDs</a:t>
            </a:r>
            <a:r>
              <a:rPr lang="et-EE" sz="1000" baseline="0"/>
              <a:t> and FNs per rural provider</a:t>
            </a:r>
            <a:endParaRPr lang="et-EE" sz="100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'Summary rural providers'!$F$29</c:f>
              <c:strCache>
                <c:ptCount val="1"/>
                <c:pt idx="0">
                  <c:v>Doctors</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'Summary rural providers'!$E$30:$E$38</c:f>
              <c:strCache>
                <c:ptCount val="9"/>
                <c:pt idx="0">
                  <c:v>0</c:v>
                </c:pt>
                <c:pt idx="1">
                  <c:v>1</c:v>
                </c:pt>
                <c:pt idx="2">
                  <c:v>2</c:v>
                </c:pt>
                <c:pt idx="3">
                  <c:v>3</c:v>
                </c:pt>
                <c:pt idx="4">
                  <c:v>4</c:v>
                </c:pt>
                <c:pt idx="5">
                  <c:v>5</c:v>
                </c:pt>
                <c:pt idx="6">
                  <c:v>6</c:v>
                </c:pt>
                <c:pt idx="7">
                  <c:v>7</c:v>
                </c:pt>
                <c:pt idx="8">
                  <c:v>8 to 11</c:v>
                </c:pt>
              </c:strCache>
            </c:strRef>
          </c:cat>
          <c:val>
            <c:numRef>
              <c:f>'Summary rural providers'!$F$30:$F$38</c:f>
              <c:numCache>
                <c:formatCode>General</c:formatCode>
                <c:ptCount val="9"/>
                <c:pt idx="0">
                  <c:v>2</c:v>
                </c:pt>
                <c:pt idx="1">
                  <c:v>439</c:v>
                </c:pt>
                <c:pt idx="2">
                  <c:v>226</c:v>
                </c:pt>
                <c:pt idx="3">
                  <c:v>69</c:v>
                </c:pt>
                <c:pt idx="4">
                  <c:v>27</c:v>
                </c:pt>
                <c:pt idx="5">
                  <c:v>11</c:v>
                </c:pt>
                <c:pt idx="6">
                  <c:v>1</c:v>
                </c:pt>
                <c:pt idx="7">
                  <c:v>2</c:v>
                </c:pt>
                <c:pt idx="8">
                  <c:v>2</c:v>
                </c:pt>
              </c:numCache>
            </c:numRef>
          </c:val>
          <c:extLst>
            <c:ext xmlns:c16="http://schemas.microsoft.com/office/drawing/2014/chart" uri="{C3380CC4-5D6E-409C-BE32-E72D297353CC}">
              <c16:uniqueId val="{00000000-326A-41C4-A806-B02F9B46169C}"/>
            </c:ext>
          </c:extLst>
        </c:ser>
        <c:ser>
          <c:idx val="1"/>
          <c:order val="1"/>
          <c:tx>
            <c:strRef>
              <c:f>'Summary rural providers'!$G$29</c:f>
              <c:strCache>
                <c:ptCount val="1"/>
                <c:pt idx="0">
                  <c:v>Nurses</c:v>
                </c:pt>
              </c:strCache>
            </c:strRef>
          </c:tx>
          <c:spPr>
            <a:solidFill>
              <a:schemeClr val="accent2"/>
            </a:solidFill>
            <a:ln>
              <a:noFill/>
            </a:ln>
            <a:effectLst/>
          </c:spPr>
          <c:invertIfNegative val="0"/>
          <c:dLbls>
            <c:dLbl>
              <c:idx val="2"/>
              <c:layout>
                <c:manualLayout>
                  <c:x val="6.7567567567567571E-3"/>
                  <c:y val="-3.652968036529680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DC5-4867-B2CA-ECD70F0BAC5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'Summary rural providers'!$E$30:$E$38</c:f>
              <c:strCache>
                <c:ptCount val="9"/>
                <c:pt idx="0">
                  <c:v>0</c:v>
                </c:pt>
                <c:pt idx="1">
                  <c:v>1</c:v>
                </c:pt>
                <c:pt idx="2">
                  <c:v>2</c:v>
                </c:pt>
                <c:pt idx="3">
                  <c:v>3</c:v>
                </c:pt>
                <c:pt idx="4">
                  <c:v>4</c:v>
                </c:pt>
                <c:pt idx="5">
                  <c:v>5</c:v>
                </c:pt>
                <c:pt idx="6">
                  <c:v>6</c:v>
                </c:pt>
                <c:pt idx="7">
                  <c:v>7</c:v>
                </c:pt>
                <c:pt idx="8">
                  <c:v>8 to 11</c:v>
                </c:pt>
              </c:strCache>
            </c:strRef>
          </c:cat>
          <c:val>
            <c:numRef>
              <c:f>'Summary rural providers'!$G$30:$G$38</c:f>
              <c:numCache>
                <c:formatCode>General</c:formatCode>
                <c:ptCount val="9"/>
                <c:pt idx="1">
                  <c:v>344</c:v>
                </c:pt>
                <c:pt idx="2">
                  <c:v>229</c:v>
                </c:pt>
                <c:pt idx="3">
                  <c:v>127</c:v>
                </c:pt>
                <c:pt idx="4">
                  <c:v>47</c:v>
                </c:pt>
                <c:pt idx="5">
                  <c:v>22</c:v>
                </c:pt>
                <c:pt idx="6">
                  <c:v>3</c:v>
                </c:pt>
                <c:pt idx="7">
                  <c:v>2</c:v>
                </c:pt>
                <c:pt idx="8">
                  <c:v>5</c:v>
                </c:pt>
              </c:numCache>
            </c:numRef>
          </c:val>
          <c:extLst>
            <c:ext xmlns:c16="http://schemas.microsoft.com/office/drawing/2014/chart" uri="{C3380CC4-5D6E-409C-BE32-E72D297353CC}">
              <c16:uniqueId val="{00000001-326A-41C4-A806-B02F9B46169C}"/>
            </c:ext>
          </c:extLst>
        </c:ser>
        <c:dLbls>
          <c:showLegendKey val="0"/>
          <c:showVal val="0"/>
          <c:showCatName val="0"/>
          <c:showSerName val="0"/>
          <c:showPercent val="0"/>
          <c:showBubbleSize val="0"/>
        </c:dLbls>
        <c:gapWidth val="219"/>
        <c:overlap val="-27"/>
        <c:axId val="1425543104"/>
        <c:axId val="1567686096"/>
      </c:barChart>
      <c:catAx>
        <c:axId val="14255431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t-EE"/>
                  <a:t>Number of FD or FN</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7686096"/>
        <c:crosses val="autoZero"/>
        <c:auto val="1"/>
        <c:lblAlgn val="ctr"/>
        <c:lblOffset val="100"/>
        <c:noMultiLvlLbl val="0"/>
      </c:catAx>
      <c:valAx>
        <c:axId val="15676860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t-EE"/>
                  <a:t>number of providers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55431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r>
              <a:rPr lang="et-EE" sz="1000"/>
              <a:t>FDs,  FNs</a:t>
            </a:r>
            <a:r>
              <a:rPr lang="et-EE" sz="1000" baseline="0"/>
              <a:t> and supporting staff</a:t>
            </a:r>
            <a:r>
              <a:rPr lang="et-EE" sz="1000"/>
              <a:t> per urban provider</a:t>
            </a:r>
          </a:p>
        </c:rich>
      </c:tx>
      <c:overlay val="0"/>
      <c:spPr>
        <a:noFill/>
        <a:ln>
          <a:noFill/>
        </a:ln>
        <a:effectLst/>
      </c:spPr>
      <c:txPr>
        <a:bodyPr rot="0" spcFirstLastPara="1" vertOverflow="ellipsis" vert="horz" wrap="square" anchor="ctr" anchorCtr="1"/>
        <a:lstStyle/>
        <a:p>
          <a:pPr>
            <a:defRPr sz="10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Urban_summary!$B$16</c:f>
              <c:strCache>
                <c:ptCount val="1"/>
                <c:pt idx="0">
                  <c:v>Doctors</c:v>
                </c:pt>
              </c:strCache>
            </c:strRef>
          </c:tx>
          <c:spPr>
            <a:solidFill>
              <a:schemeClr val="accent1"/>
            </a:solidFill>
            <a:ln>
              <a:noFill/>
            </a:ln>
            <a:effectLst/>
          </c:spPr>
          <c:invertIfNegative val="0"/>
          <c:dLbls>
            <c:dLbl>
              <c:idx val="6"/>
              <c:layout>
                <c:manualLayout>
                  <c:x val="-2.2045855379188711E-3"/>
                  <c:y val="-3.645833333333333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DD-44BB-9479-794F03D34F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Urban_summary!$A$17:$A$28</c:f>
              <c:strCache>
                <c:ptCount val="12"/>
                <c:pt idx="0">
                  <c:v>0</c:v>
                </c:pt>
                <c:pt idx="1">
                  <c:v>1</c:v>
                </c:pt>
                <c:pt idx="2">
                  <c:v>2</c:v>
                </c:pt>
                <c:pt idx="3">
                  <c:v>3</c:v>
                </c:pt>
                <c:pt idx="4">
                  <c:v>4</c:v>
                </c:pt>
                <c:pt idx="5">
                  <c:v>5</c:v>
                </c:pt>
                <c:pt idx="6">
                  <c:v>6</c:v>
                </c:pt>
                <c:pt idx="7">
                  <c:v>7</c:v>
                </c:pt>
                <c:pt idx="8">
                  <c:v>8 to 10</c:v>
                </c:pt>
                <c:pt idx="9">
                  <c:v>11 to 20</c:v>
                </c:pt>
                <c:pt idx="10">
                  <c:v>21 to 50</c:v>
                </c:pt>
                <c:pt idx="11">
                  <c:v>Over 50</c:v>
                </c:pt>
              </c:strCache>
            </c:strRef>
          </c:cat>
          <c:val>
            <c:numRef>
              <c:f>Urban_summary!$B$17:$B$28</c:f>
              <c:numCache>
                <c:formatCode>General</c:formatCode>
                <c:ptCount val="12"/>
                <c:pt idx="0">
                  <c:v>12</c:v>
                </c:pt>
                <c:pt idx="1">
                  <c:v>30</c:v>
                </c:pt>
                <c:pt idx="2">
                  <c:v>27</c:v>
                </c:pt>
                <c:pt idx="3">
                  <c:v>14</c:v>
                </c:pt>
                <c:pt idx="4">
                  <c:v>12</c:v>
                </c:pt>
                <c:pt idx="5">
                  <c:v>7</c:v>
                </c:pt>
                <c:pt idx="6">
                  <c:v>10</c:v>
                </c:pt>
                <c:pt idx="7">
                  <c:v>6</c:v>
                </c:pt>
                <c:pt idx="8">
                  <c:v>8</c:v>
                </c:pt>
                <c:pt idx="9">
                  <c:v>14</c:v>
                </c:pt>
                <c:pt idx="10">
                  <c:v>13</c:v>
                </c:pt>
                <c:pt idx="11">
                  <c:v>4</c:v>
                </c:pt>
              </c:numCache>
            </c:numRef>
          </c:val>
          <c:extLst>
            <c:ext xmlns:c16="http://schemas.microsoft.com/office/drawing/2014/chart" uri="{C3380CC4-5D6E-409C-BE32-E72D297353CC}">
              <c16:uniqueId val="{00000000-29EA-467B-9596-5A366FFAA983}"/>
            </c:ext>
          </c:extLst>
        </c:ser>
        <c:ser>
          <c:idx val="1"/>
          <c:order val="1"/>
          <c:tx>
            <c:strRef>
              <c:f>Urban_summary!$C$16</c:f>
              <c:strCache>
                <c:ptCount val="1"/>
                <c:pt idx="0">
                  <c:v>Nurses</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Urban_summary!$A$17:$A$28</c:f>
              <c:strCache>
                <c:ptCount val="12"/>
                <c:pt idx="0">
                  <c:v>0</c:v>
                </c:pt>
                <c:pt idx="1">
                  <c:v>1</c:v>
                </c:pt>
                <c:pt idx="2">
                  <c:v>2</c:v>
                </c:pt>
                <c:pt idx="3">
                  <c:v>3</c:v>
                </c:pt>
                <c:pt idx="4">
                  <c:v>4</c:v>
                </c:pt>
                <c:pt idx="5">
                  <c:v>5</c:v>
                </c:pt>
                <c:pt idx="6">
                  <c:v>6</c:v>
                </c:pt>
                <c:pt idx="7">
                  <c:v>7</c:v>
                </c:pt>
                <c:pt idx="8">
                  <c:v>8 to 10</c:v>
                </c:pt>
                <c:pt idx="9">
                  <c:v>11 to 20</c:v>
                </c:pt>
                <c:pt idx="10">
                  <c:v>21 to 50</c:v>
                </c:pt>
                <c:pt idx="11">
                  <c:v>Over 50</c:v>
                </c:pt>
              </c:strCache>
            </c:strRef>
          </c:cat>
          <c:val>
            <c:numRef>
              <c:f>Urban_summary!$C$17:$C$28</c:f>
              <c:numCache>
                <c:formatCode>General</c:formatCode>
                <c:ptCount val="12"/>
                <c:pt idx="0">
                  <c:v>30</c:v>
                </c:pt>
                <c:pt idx="1">
                  <c:v>16</c:v>
                </c:pt>
                <c:pt idx="2">
                  <c:v>12</c:v>
                </c:pt>
                <c:pt idx="3">
                  <c:v>7</c:v>
                </c:pt>
                <c:pt idx="4">
                  <c:v>10</c:v>
                </c:pt>
                <c:pt idx="5">
                  <c:v>3</c:v>
                </c:pt>
                <c:pt idx="6">
                  <c:v>10</c:v>
                </c:pt>
                <c:pt idx="7">
                  <c:v>6</c:v>
                </c:pt>
                <c:pt idx="8">
                  <c:v>21</c:v>
                </c:pt>
                <c:pt idx="9">
                  <c:v>19</c:v>
                </c:pt>
                <c:pt idx="10">
                  <c:v>15</c:v>
                </c:pt>
                <c:pt idx="11">
                  <c:v>8</c:v>
                </c:pt>
              </c:numCache>
            </c:numRef>
          </c:val>
          <c:extLst>
            <c:ext xmlns:c16="http://schemas.microsoft.com/office/drawing/2014/chart" uri="{C3380CC4-5D6E-409C-BE32-E72D297353CC}">
              <c16:uniqueId val="{00000001-29EA-467B-9596-5A366FFAA983}"/>
            </c:ext>
          </c:extLst>
        </c:ser>
        <c:ser>
          <c:idx val="2"/>
          <c:order val="2"/>
          <c:tx>
            <c:strRef>
              <c:f>Urban_summary!$D$16</c:f>
              <c:strCache>
                <c:ptCount val="1"/>
                <c:pt idx="0">
                  <c:v>Supporting staff</c:v>
                </c:pt>
              </c:strCache>
            </c:strRef>
          </c:tx>
          <c:spPr>
            <a:solidFill>
              <a:schemeClr val="accent3"/>
            </a:solidFill>
            <a:ln>
              <a:noFill/>
            </a:ln>
            <a:effectLst/>
          </c:spPr>
          <c:invertIfNegative val="0"/>
          <c:dLbls>
            <c:dLbl>
              <c:idx val="6"/>
              <c:layout>
                <c:manualLayout>
                  <c:x val="1.7636684303350969E-2"/>
                  <c:y val="-7.29166666666667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CBDD-44BB-9479-794F03D34F2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Urban_summary!$A$17:$A$28</c:f>
              <c:strCache>
                <c:ptCount val="12"/>
                <c:pt idx="0">
                  <c:v>0</c:v>
                </c:pt>
                <c:pt idx="1">
                  <c:v>1</c:v>
                </c:pt>
                <c:pt idx="2">
                  <c:v>2</c:v>
                </c:pt>
                <c:pt idx="3">
                  <c:v>3</c:v>
                </c:pt>
                <c:pt idx="4">
                  <c:v>4</c:v>
                </c:pt>
                <c:pt idx="5">
                  <c:v>5</c:v>
                </c:pt>
                <c:pt idx="6">
                  <c:v>6</c:v>
                </c:pt>
                <c:pt idx="7">
                  <c:v>7</c:v>
                </c:pt>
                <c:pt idx="8">
                  <c:v>8 to 10</c:v>
                </c:pt>
                <c:pt idx="9">
                  <c:v>11 to 20</c:v>
                </c:pt>
                <c:pt idx="10">
                  <c:v>21 to 50</c:v>
                </c:pt>
                <c:pt idx="11">
                  <c:v>Over 50</c:v>
                </c:pt>
              </c:strCache>
            </c:strRef>
          </c:cat>
          <c:val>
            <c:numRef>
              <c:f>Urban_summary!$D$17:$D$28</c:f>
              <c:numCache>
                <c:formatCode>General</c:formatCode>
                <c:ptCount val="12"/>
                <c:pt idx="0">
                  <c:v>20</c:v>
                </c:pt>
                <c:pt idx="1">
                  <c:v>4</c:v>
                </c:pt>
                <c:pt idx="2">
                  <c:v>8</c:v>
                </c:pt>
                <c:pt idx="3">
                  <c:v>11</c:v>
                </c:pt>
                <c:pt idx="4">
                  <c:v>8</c:v>
                </c:pt>
                <c:pt idx="5">
                  <c:v>11</c:v>
                </c:pt>
                <c:pt idx="6">
                  <c:v>10</c:v>
                </c:pt>
                <c:pt idx="7">
                  <c:v>6</c:v>
                </c:pt>
                <c:pt idx="8">
                  <c:v>15</c:v>
                </c:pt>
                <c:pt idx="9">
                  <c:v>27</c:v>
                </c:pt>
                <c:pt idx="10">
                  <c:v>22</c:v>
                </c:pt>
                <c:pt idx="11">
                  <c:v>15</c:v>
                </c:pt>
              </c:numCache>
            </c:numRef>
          </c:val>
          <c:extLst>
            <c:ext xmlns:c16="http://schemas.microsoft.com/office/drawing/2014/chart" uri="{C3380CC4-5D6E-409C-BE32-E72D297353CC}">
              <c16:uniqueId val="{00000002-29EA-467B-9596-5A366FFAA983}"/>
            </c:ext>
          </c:extLst>
        </c:ser>
        <c:dLbls>
          <c:showLegendKey val="0"/>
          <c:showVal val="0"/>
          <c:showCatName val="0"/>
          <c:showSerName val="0"/>
          <c:showPercent val="0"/>
          <c:showBubbleSize val="0"/>
        </c:dLbls>
        <c:gapWidth val="219"/>
        <c:overlap val="-27"/>
        <c:axId val="1438836208"/>
        <c:axId val="1599806912"/>
      </c:barChart>
      <c:catAx>
        <c:axId val="1438836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99806912"/>
        <c:crosses val="autoZero"/>
        <c:auto val="1"/>
        <c:lblAlgn val="ctr"/>
        <c:lblOffset val="100"/>
        <c:noMultiLvlLbl val="0"/>
      </c:catAx>
      <c:valAx>
        <c:axId val="15998069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t-EE"/>
                  <a:t>No of provideres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388362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ysClr val="windowText" lastClr="000000"/>
                </a:solidFill>
                <a:latin typeface="+mn-lt"/>
                <a:ea typeface="+mn-ea"/>
                <a:cs typeface="+mn-cs"/>
              </a:defRPr>
            </a:pPr>
            <a:r>
              <a:rPr lang="en-US" sz="1000" b="0"/>
              <a:t>Singel pactice</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ysClr val="windowText" lastClr="000000"/>
              </a:solidFill>
              <a:latin typeface="+mn-lt"/>
              <a:ea typeface="+mn-ea"/>
              <a:cs typeface="+mn-cs"/>
            </a:defRPr>
          </a:pPr>
          <a:endParaRPr lang="en-US"/>
        </a:p>
      </c:txPr>
    </c:title>
    <c:autoTitleDeleted val="0"/>
    <c:plotArea>
      <c:layout/>
      <c:pieChart>
        <c:varyColors val="1"/>
        <c:ser>
          <c:idx val="0"/>
          <c:order val="0"/>
          <c:tx>
            <c:strRef>
              <c:f>'Payment Design single'!$B$11</c:f>
              <c:strCache>
                <c:ptCount val="1"/>
                <c:pt idx="0">
                  <c:v>Singel pactice</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6D5F-4F61-ABF7-7C1C6F6942F5}"/>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6D5F-4F61-ABF7-7C1C6F6942F5}"/>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6D5F-4F61-ABF7-7C1C6F6942F5}"/>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6D5F-4F61-ABF7-7C1C6F6942F5}"/>
              </c:ext>
            </c:extLst>
          </c:dPt>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'Payment Design single'!$A$12:$A$15</c:f>
              <c:strCache>
                <c:ptCount val="4"/>
                <c:pt idx="0">
                  <c:v>Workforce related costs</c:v>
                </c:pt>
                <c:pt idx="1">
                  <c:v>Laboratory tests</c:v>
                </c:pt>
                <c:pt idx="2">
                  <c:v>Premises</c:v>
                </c:pt>
                <c:pt idx="3">
                  <c:v>Medical equipment</c:v>
                </c:pt>
              </c:strCache>
            </c:strRef>
          </c:cat>
          <c:val>
            <c:numRef>
              <c:f>'Payment Design single'!$B$12:$B$15</c:f>
              <c:numCache>
                <c:formatCode>#,##0</c:formatCode>
                <c:ptCount val="4"/>
                <c:pt idx="0">
                  <c:v>47274028.577586047</c:v>
                </c:pt>
                <c:pt idx="1">
                  <c:v>23727227.136000007</c:v>
                </c:pt>
                <c:pt idx="2">
                  <c:v>11000860.640282547</c:v>
                </c:pt>
                <c:pt idx="3">
                  <c:v>5688233.0392419044</c:v>
                </c:pt>
              </c:numCache>
            </c:numRef>
          </c:val>
          <c:extLst>
            <c:ext xmlns:c16="http://schemas.microsoft.com/office/drawing/2014/chart" uri="{C3380CC4-5D6E-409C-BE32-E72D297353CC}">
              <c16:uniqueId val="{00000008-6D5F-4F61-ABF7-7C1C6F6942F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cap="all" spc="50" baseline="0">
                <a:solidFill>
                  <a:sysClr val="windowText" lastClr="000000"/>
                </a:solidFill>
                <a:latin typeface="+mn-lt"/>
                <a:ea typeface="+mn-ea"/>
                <a:cs typeface="+mn-cs"/>
              </a:defRPr>
            </a:pPr>
            <a:r>
              <a:rPr lang="en-US" sz="1000" b="0"/>
              <a:t>Group practice</a:t>
            </a:r>
          </a:p>
        </c:rich>
      </c:tx>
      <c:overlay val="0"/>
      <c:spPr>
        <a:noFill/>
        <a:ln>
          <a:noFill/>
        </a:ln>
        <a:effectLst/>
      </c:spPr>
      <c:txPr>
        <a:bodyPr rot="0" spcFirstLastPara="1" vertOverflow="ellipsis" vert="horz" wrap="square" anchor="ctr" anchorCtr="1"/>
        <a:lstStyle/>
        <a:p>
          <a:pPr>
            <a:defRPr sz="1400" b="1" i="0" u="none" strike="noStrike" kern="1200" cap="all" spc="50" baseline="0">
              <a:solidFill>
                <a:sysClr val="windowText" lastClr="000000"/>
              </a:solidFill>
              <a:latin typeface="+mn-lt"/>
              <a:ea typeface="+mn-ea"/>
              <a:cs typeface="+mn-cs"/>
            </a:defRPr>
          </a:pPr>
          <a:endParaRPr lang="en-US"/>
        </a:p>
      </c:txPr>
    </c:title>
    <c:autoTitleDeleted val="0"/>
    <c:plotArea>
      <c:layout/>
      <c:pieChart>
        <c:varyColors val="1"/>
        <c:ser>
          <c:idx val="0"/>
          <c:order val="0"/>
          <c:tx>
            <c:strRef>
              <c:f>'Payment Design single'!$C$11</c:f>
              <c:strCache>
                <c:ptCount val="1"/>
                <c:pt idx="0">
                  <c:v>Group practice</c:v>
                </c:pt>
              </c:strCache>
            </c:strRef>
          </c:tx>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1-3804-4DB7-83F1-CDFE94473F71}"/>
              </c:ext>
            </c:extLst>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3-3804-4DB7-83F1-CDFE94473F71}"/>
              </c:ext>
            </c:extLst>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5-3804-4DB7-83F1-CDFE94473F71}"/>
              </c:ext>
            </c:extLst>
          </c:dPt>
          <c:dPt>
            <c:idx val="3"/>
            <c:bubble3D val="0"/>
            <c:spPr>
              <a:solidFill>
                <a:schemeClr val="accent4"/>
              </a:solidFill>
              <a:ln>
                <a:noFill/>
              </a:ln>
              <a:effectLst/>
              <a:scene3d>
                <a:camera prst="orthographicFront"/>
                <a:lightRig rig="brightRoom" dir="t"/>
              </a:scene3d>
              <a:sp3d prstMaterial="flat">
                <a:bevelT w="50800" h="101600" prst="angle"/>
                <a:contourClr>
                  <a:srgbClr val="000000"/>
                </a:contourClr>
              </a:sp3d>
            </c:spPr>
            <c:extLst>
              <c:ext xmlns:c16="http://schemas.microsoft.com/office/drawing/2014/chart" uri="{C3380CC4-5D6E-409C-BE32-E72D297353CC}">
                <c16:uniqueId val="{00000007-3804-4DB7-83F1-CDFE94473F71}"/>
              </c:ext>
            </c:extLst>
          </c:dPt>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'Payment Design single'!$A$12:$A$15</c:f>
              <c:strCache>
                <c:ptCount val="4"/>
                <c:pt idx="0">
                  <c:v>Workforce related costs</c:v>
                </c:pt>
                <c:pt idx="1">
                  <c:v>Laboratory tests</c:v>
                </c:pt>
                <c:pt idx="2">
                  <c:v>Premises</c:v>
                </c:pt>
                <c:pt idx="3">
                  <c:v>Medical equipment</c:v>
                </c:pt>
              </c:strCache>
            </c:strRef>
          </c:cat>
          <c:val>
            <c:numRef>
              <c:f>'Payment Design single'!$C$12:$C$15</c:f>
              <c:numCache>
                <c:formatCode>#,##0</c:formatCode>
                <c:ptCount val="4"/>
                <c:pt idx="0">
                  <c:v>32132489.707832526</c:v>
                </c:pt>
                <c:pt idx="1">
                  <c:v>23727227.136000007</c:v>
                </c:pt>
                <c:pt idx="2">
                  <c:v>13521066.355070341</c:v>
                </c:pt>
                <c:pt idx="3">
                  <c:v>4525129.535922857</c:v>
                </c:pt>
              </c:numCache>
            </c:numRef>
          </c:val>
          <c:extLst>
            <c:ext xmlns:c16="http://schemas.microsoft.com/office/drawing/2014/chart" uri="{C3380CC4-5D6E-409C-BE32-E72D297353CC}">
              <c16:uniqueId val="{00000008-3804-4DB7-83F1-CDFE94473F71}"/>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defRPr>
      </a:pPr>
      <a:endParaRPr lang="en-US"/>
    </a:p>
  </c:txPr>
  <c:externalData r:id="rId3">
    <c:autoUpdate val="0"/>
  </c:externalData>
</c:chartSpace>
</file>

<file path=word/charts/chartEx1.xml><?xml version="1.0" encoding="utf-8"?>
<cx:chartSpace xmlns:a="http://schemas.openxmlformats.org/drawingml/2006/main" xmlns:r="http://schemas.openxmlformats.org/officeDocument/2006/relationships" xmlns:cx="http://schemas.microsoft.com/office/drawing/2014/chartex">
  <cx:chartData>
    <cx:data id="0">
      <cx:numDim type="val">
        <cx:f>total_urban_summary!$J$2:$J$145</cx:f>
        <cx:lvl ptCount="144" formatCode="# ##0">
          <cx:pt idx="0">1134.9652173913043</cx:pt>
          <cx:pt idx="1">1875</cx:pt>
          <cx:pt idx="2">1971.2075471698113</cx:pt>
          <cx:pt idx="3">2127.2790697674418</cx:pt>
          <cx:pt idx="4">1564.051282051282</cx:pt>
          <cx:pt idx="5">615.23684210526312</cx:pt>
          <cx:pt idx="6">1273.09375</cx:pt>
          <cx:pt idx="7">1052.1538461538462</cx:pt>
          <cx:pt idx="8">56.269230769230766</cx:pt>
          <cx:pt idx="9">1312.28</cx:pt>
          <cx:pt idx="10">2096.3200000000002</cx:pt>
          <cx:pt idx="11">1408.2608695652175</cx:pt>
          <cx:pt idx="12">1261.6818181818182</cx:pt>
          <cx:pt idx="13">1520.5714285714287</cx:pt>
          <cx:pt idx="14">482.85714285714283</cx:pt>
          <cx:pt idx="15">1434.3809523809523</cx:pt>
          <cx:pt idx="16">1300.8</cx:pt>
          <cx:pt idx="17">1321.7058823529412</cx:pt>
          <cx:pt idx="18">1758.0588235294117</cx:pt>
          <cx:pt idx="19">1599.8823529411766</cx:pt>
          <cx:pt idx="20">781.88235294117646</cx:pt>
          <cx:pt idx="21">1819.3125</cx:pt>
          <cx:pt idx="22">2400.6666666666665</cx:pt>
          <cx:pt idx="23">930.4666666666667</cx:pt>
          <cx:pt idx="24">1454.2857142857142</cx:pt>
          <cx:pt idx="25">1372.8333333333333</cx:pt>
          <cx:pt idx="26">631.08333333333337</cx:pt>
          <cx:pt idx="27">1522.75</cx:pt>
          <cx:pt idx="28">522.41666666666663</cx:pt>
          <cx:pt idx="29">1699</cx:pt>
          <cx:pt idx="30">843.20000000000005</cx:pt>
          <cx:pt idx="31">462.60000000000002</cx:pt>
          <cx:pt idx="32">1718.3333333333333</cx:pt>
          <cx:pt idx="33">1297.75</cx:pt>
          <cx:pt idx="34">1352.875</cx:pt>
          <cx:pt idx="35">2317.25</cx:pt>
          <cx:pt idx="36">1976.75</cx:pt>
          <cx:pt idx="37">2063.625</cx:pt>
          <cx:pt idx="38">1880.5714285714287</cx:pt>
          <cx:pt idx="39">2180.4285714285716</cx:pt>
          <cx:pt idx="40">1791</cx:pt>
          <cx:pt idx="41">1999.1428571428571</cx:pt>
          <cx:pt idx="42">1864.5714285714287</cx:pt>
          <cx:pt idx="43">1692.7142857142858</cx:pt>
          <cx:pt idx="44">2330.8333333333335</cx:pt>
          <cx:pt idx="45">1433</cx:pt>
          <cx:pt idx="46">1483</cx:pt>
          <cx:pt idx="47">1755.1666666666667</cx:pt>
          <cx:pt idx="48">0</cx:pt>
          <cx:pt idx="49">2463.5</cx:pt>
          <cx:pt idx="50">927.16666666666663</cx:pt>
          <cx:pt idx="51">2440.3333333333335</cx:pt>
          <cx:pt idx="52">2814.6666666666665</cx:pt>
          <cx:pt idx="53">240.16666666666666</cx:pt>
          <cx:pt idx="54">1777.8</cx:pt>
          <cx:pt idx="55">1776.2</cx:pt>
          <cx:pt idx="56">814.79999999999995</cx:pt>
          <cx:pt idx="57">953.79999999999995</cx:pt>
          <cx:pt idx="58">1220</cx:pt>
          <cx:pt idx="59">2101.5999999999999</cx:pt>
          <cx:pt idx="60">2187.1999999999998</cx:pt>
          <cx:pt idx="61">2372.5</cx:pt>
          <cx:pt idx="62">1372.75</cx:pt>
          <cx:pt idx="63">734.25</cx:pt>
          <cx:pt idx="64">236.5</cx:pt>
          <cx:pt idx="65">1917.5</cx:pt>
          <cx:pt idx="66">1216.75</cx:pt>
          <cx:pt idx="67">3671.25</cx:pt>
          <cx:pt idx="68">1537.75</cx:pt>
          <cx:pt idx="69">1595.5</cx:pt>
          <cx:pt idx="70">336.25</cx:pt>
          <cx:pt idx="71">336.25</cx:pt>
          <cx:pt idx="72">14</cx:pt>
          <cx:pt idx="73">2416</cx:pt>
          <cx:pt idx="74">2361.6666666666665</cx:pt>
          <cx:pt idx="75">2361.6666666666665</cx:pt>
          <cx:pt idx="76">2337.3333333333335</cx:pt>
          <cx:pt idx="77">2546</cx:pt>
          <cx:pt idx="78">4060.6666666666665</cx:pt>
          <cx:pt idx="79">0</cx:pt>
          <cx:pt idx="80">4579.333333333333</cx:pt>
          <cx:pt idx="81">750</cx:pt>
          <cx:pt idx="82">2565.3333333333335</cx:pt>
          <cx:pt idx="83">3498.3333333333335</cx:pt>
          <cx:pt idx="84">1845.3333333333333</cx:pt>
          <cx:pt idx="85">2252</cx:pt>
          <cx:pt idx="86">2174.3333333333335</cx:pt>
          <cx:pt idx="87">1997</cx:pt>
          <cx:pt idx="88">3534</cx:pt>
          <cx:pt idx="89">1436</cx:pt>
          <cx:pt idx="90">2683.5</cx:pt>
          <cx:pt idx="91">893</cx:pt>
          <cx:pt idx="92">1667.5</cx:pt>
          <cx:pt idx="93">3530</cx:pt>
          <cx:pt idx="94">3949.5</cx:pt>
          <cx:pt idx="95">1719.5</cx:pt>
          <cx:pt idx="96">1349</cx:pt>
          <cx:pt idx="97">1858</cx:pt>
          <cx:pt idx="98">0</cx:pt>
          <cx:pt idx="99">1530</cx:pt>
          <cx:pt idx="100">937</cx:pt>
          <cx:pt idx="101">0</cx:pt>
          <cx:pt idx="102">1342.5</cx:pt>
          <cx:pt idx="103">2403.5</cx:pt>
          <cx:pt idx="104">1375</cx:pt>
          <cx:pt idx="105">2825</cx:pt>
          <cx:pt idx="106">1092</cx:pt>
          <cx:pt idx="107">1858</cx:pt>
          <cx:pt idx="108">2363</cx:pt>
          <cx:pt idx="109">151.5</cx:pt>
          <cx:pt idx="110">99</cx:pt>
          <cx:pt idx="111">1539.5</cx:pt>
          <cx:pt idx="112">215.5</cx:pt>
          <cx:pt idx="113">0</cx:pt>
          <cx:pt idx="114">1733</cx:pt>
          <cx:pt idx="115">3459</cx:pt>
          <cx:pt idx="116">45</cx:pt>
          <cx:pt idx="117">3858</cx:pt>
          <cx:pt idx="118">781</cx:pt>
          <cx:pt idx="119">687</cx:pt>
          <cx:pt idx="120">6232</cx:pt>
          <cx:pt idx="121">2712</cx:pt>
          <cx:pt idx="122">579</cx:pt>
          <cx:pt idx="123">2</cx:pt>
          <cx:pt idx="124">288</cx:pt>
          <cx:pt idx="125">1862</cx:pt>
          <cx:pt idx="126">267</cx:pt>
          <cx:pt idx="127">2306</cx:pt>
          <cx:pt idx="128">1148</cx:pt>
          <cx:pt idx="129">13083</cx:pt>
          <cx:pt idx="130">751</cx:pt>
          <cx:pt idx="131">529</cx:pt>
          <cx:pt idx="132">795</cx:pt>
          <cx:pt idx="133">4960</cx:pt>
          <cx:pt idx="134">691</cx:pt>
          <cx:pt idx="135">1973</cx:pt>
          <cx:pt idx="136">239</cx:pt>
          <cx:pt idx="137">336</cx:pt>
          <cx:pt idx="138">869</cx:pt>
          <cx:pt idx="139">369</cx:pt>
          <cx:pt idx="140">1031</cx:pt>
          <cx:pt idx="141">66</cx:pt>
          <cx:pt idx="142">156</cx:pt>
          <cx:pt idx="143">1150</cx:pt>
        </cx:lvl>
      </cx:numDim>
    </cx:data>
  </cx:chartData>
  <cx:chart>
    <cx:title pos="t" align="ctr" overlay="0">
      <cx:tx>
        <cx:rich>
          <a:bodyPr spcFirstLastPara="1" vertOverflow="ellipsis" horzOverflow="overflow" wrap="square" lIns="0" tIns="0" rIns="0" bIns="0" anchor="ctr" anchorCtr="1"/>
          <a:lstStyle/>
          <a:p>
            <a:pPr rtl="0">
              <a:defRPr sz="1000"/>
            </a:pPr>
            <a:r>
              <a:rPr lang="et-EE" sz="1000" b="0" i="0" baseline="0">
                <a:effectLst/>
              </a:rPr>
              <a:t>Distribution of FDs by number of enrolled patients for urban providers*</a:t>
            </a:r>
            <a:endParaRPr lang="et-EE" sz="1000">
              <a:effectLst/>
            </a:endParaRPr>
          </a:p>
        </cx:rich>
      </cx:tx>
    </cx:title>
    <cx:plotArea>
      <cx:plotAreaRegion>
        <cx:series layoutId="clusteredColumn" uniqueId="{2B70280C-1ECB-4665-B735-0191FF2B7CFD}" formatIdx="0">
          <cx:tx>
            <cx:txData>
              <cx:f>total_urban_summary!$J$1</cx:f>
              <cx:v>Number of providers</cx:v>
            </cx:txData>
          </cx:tx>
          <cx:dataLabels>
            <cx:visibility seriesName="0" categoryName="0" value="1"/>
          </cx:dataLabels>
          <cx:dataId val="0"/>
          <cx:layoutPr>
            <cx:binning intervalClosed="r">
              <cx:binSize val="1000"/>
            </cx:binning>
          </cx:layoutPr>
        </cx:series>
      </cx:plotAreaRegion>
      <cx:axis id="0">
        <cx:catScaling gapWidth="0"/>
        <cx:title>
          <cx:tx>
            <cx:txData>
              <cx:v>Size of patient list</cx:v>
            </cx:txData>
          </cx:tx>
          <cx:txPr>
            <a:bodyPr spcFirstLastPara="1" vertOverflow="ellipsis" horzOverflow="overflow" wrap="square" lIns="0" tIns="0" rIns="0" bIns="0" anchor="ctr" anchorCtr="1"/>
            <a:lstStyle/>
            <a:p>
              <a:pPr algn="ctr" rtl="0">
                <a:defRPr/>
              </a:pPr>
              <a:r>
                <a:rPr lang="et-EE" sz="900" b="0" i="0" u="none" strike="noStrike" baseline="0">
                  <a:solidFill>
                    <a:sysClr val="windowText" lastClr="000000">
                      <a:lumMod val="65000"/>
                      <a:lumOff val="35000"/>
                    </a:sysClr>
                  </a:solidFill>
                  <a:latin typeface="Calibri" panose="020F0502020204030204"/>
                </a:rPr>
                <a:t>Size of patient list</a:t>
              </a:r>
            </a:p>
          </cx:txPr>
        </cx:title>
        <cx:tickLabels/>
      </cx:axis>
      <cx:axis id="1" hidden="1">
        <cx:valScaling/>
        <cx:title>
          <cx:tx>
            <cx:txData>
              <cx:v>Number of providers</cx:v>
            </cx:txData>
          </cx:tx>
          <cx:txPr>
            <a:bodyPr spcFirstLastPara="1" vertOverflow="ellipsis" horzOverflow="overflow" wrap="square" lIns="0" tIns="0" rIns="0" bIns="0" anchor="ctr" anchorCtr="1"/>
            <a:lstStyle/>
            <a:p>
              <a:pPr algn="ctr" rtl="0">
                <a:defRPr/>
              </a:pPr>
              <a:r>
                <a:rPr lang="et-EE" sz="900" b="0" i="0" u="none" strike="noStrike" baseline="0">
                  <a:solidFill>
                    <a:sysClr val="windowText" lastClr="000000">
                      <a:lumMod val="65000"/>
                      <a:lumOff val="35000"/>
                    </a:sysClr>
                  </a:solidFill>
                  <a:latin typeface="Calibri" panose="020F0502020204030204"/>
                </a:rPr>
                <a:t>Number of providers</a:t>
              </a:r>
            </a:p>
          </cx:txPr>
        </cx:title>
        <cx:tickLabels/>
      </cx:axis>
    </cx:plotArea>
  </cx:chart>
  <cx:clrMapOvr bg1="lt1" tx1="dk1" bg2="lt2" tx2="dk2" accent1="accent1" accent2="accent2" accent3="accent3" accent4="accent4" accent5="accent5" accent6="accent6" hlink="hlink" folHlink="folHlink"/>
</cx:chartSpace>
</file>

<file path=word/charts/chartEx2.xml><?xml version="1.0" encoding="utf-8"?>
<cx:chartSpace xmlns:a="http://schemas.openxmlformats.org/drawingml/2006/main" xmlns:r="http://schemas.openxmlformats.org/officeDocument/2006/relationships" xmlns:cx="http://schemas.microsoft.com/office/drawing/2014/chartex">
  <cx:chartData>
    <cx:data id="0">
      <cx:numDim type="val">
        <cx:f>'Rural Providers'!$G$2:$G$783</cx:f>
        <cx:lvl ptCount="782" formatCode="_(* # ##0_);_(* \(# ##0\);_(* &quot;-&quot;??_);_(@_)">
          <cx:pt idx="0">1988</cx:pt>
          <cx:pt idx="1">1961</cx:pt>
          <cx:pt idx="2">1451</cx:pt>
          <cx:pt idx="3">1346</cx:pt>
          <cx:pt idx="4">1132</cx:pt>
          <cx:pt idx="5">853</cx:pt>
          <cx:pt idx="6">1213</cx:pt>
          <cx:pt idx="7">1302.5</cx:pt>
          <cx:pt idx="8">1250</cx:pt>
          <cx:pt idx="9">1785</cx:pt>
          <cx:pt idx="10">1794</cx:pt>
          <cx:pt idx="11">2774.5</cx:pt>
          <cx:pt idx="12">1821</cx:pt>
          <cx:pt idx="13">1619.6666666666667</cx:pt>
          <cx:pt idx="14">2164.3333333333335</cx:pt>
          <cx:pt idx="15">1370</cx:pt>
          <cx:pt idx="16">1591</cx:pt>
          <cx:pt idx="17">1621</cx:pt>
          <cx:pt idx="18">1941.5</cx:pt>
          <cx:pt idx="19">1387.3333333333333</cx:pt>
          <cx:pt idx="20">1430.5</cx:pt>
          <cx:pt idx="21">1348</cx:pt>
          <cx:pt idx="22">918</cx:pt>
          <cx:pt idx="23">1158</cx:pt>
          <cx:pt idx="24">1438</cx:pt>
          <cx:pt idx="25">1143</cx:pt>
          <cx:pt idx="26">846</cx:pt>
          <cx:pt idx="27">883</cx:pt>
          <cx:pt idx="28">1021</cx:pt>
          <cx:pt idx="29">1604</cx:pt>
          <cx:pt idx="30">1494</cx:pt>
          <cx:pt idx="31">2600</cx:pt>
          <cx:pt idx="32">2271</cx:pt>
          <cx:pt idx="33">1191.5999999999999</cx:pt>
          <cx:pt idx="34">1153.6666666666667</cx:pt>
          <cx:pt idx="35">1892.8</cx:pt>
          <cx:pt idx="36">3087</cx:pt>
          <cx:pt idx="37">1336</cx:pt>
          <cx:pt idx="38">1114</cx:pt>
          <cx:pt idx="39">1605</cx:pt>
          <cx:pt idx="40">826</cx:pt>
          <cx:pt idx="41">1622.4000000000001</cx:pt>
          <cx:pt idx="42">898</cx:pt>
          <cx:pt idx="43">1036.75</cx:pt>
          <cx:pt idx="44">1602.5</cx:pt>
          <cx:pt idx="45">1113.5</cx:pt>
          <cx:pt idx="46">1031</cx:pt>
          <cx:pt idx="47">1788</cx:pt>
          <cx:pt idx="48">1374.5</cx:pt>
          <cx:pt idx="49">836</cx:pt>
          <cx:pt idx="50">937.66666666666663</cx:pt>
          <cx:pt idx="51">830</cx:pt>
          <cx:pt idx="52">1534</cx:pt>
          <cx:pt idx="53">790</cx:pt>
          <cx:pt idx="54">1811</cx:pt>
          <cx:pt idx="55">1437</cx:pt>
          <cx:pt idx="56">830</cx:pt>
          <cx:pt idx="57">1285</cx:pt>
          <cx:pt idx="58">1255</cx:pt>
          <cx:pt idx="59">567</cx:pt>
          <cx:pt idx="60">1625</cx:pt>
          <cx:pt idx="61">1409</cx:pt>
          <cx:pt idx="62">1607</cx:pt>
          <cx:pt idx="63">1503</cx:pt>
          <cx:pt idx="64">1207</cx:pt>
          <cx:pt idx="65">1450</cx:pt>
          <cx:pt idx="66">1348.5</cx:pt>
          <cx:pt idx="67">2148</cx:pt>
          <cx:pt idx="68">1449</cx:pt>
          <cx:pt idx="69">1166</cx:pt>
          <cx:pt idx="70">1011</cx:pt>
          <cx:pt idx="71">913</cx:pt>
          <cx:pt idx="72">1907</cx:pt>
          <cx:pt idx="73">1464</cx:pt>
          <cx:pt idx="74">1825</cx:pt>
          <cx:pt idx="75">1943</cx:pt>
          <cx:pt idx="76">1008</cx:pt>
          <cx:pt idx="77">733</cx:pt>
          <cx:pt idx="78">1178</cx:pt>
          <cx:pt idx="79">1117.5</cx:pt>
          <cx:pt idx="80">1632</cx:pt>
          <cx:pt idx="81">1170</cx:pt>
          <cx:pt idx="82">1491</cx:pt>
          <cx:pt idx="83">774</cx:pt>
          <cx:pt idx="84">943</cx:pt>
          <cx:pt idx="85">1482.6666666666667</cx:pt>
          <cx:pt idx="86">1388</cx:pt>
          <cx:pt idx="87">531</cx:pt>
          <cx:pt idx="88">1912</cx:pt>
          <cx:pt idx="89">1314.5</cx:pt>
          <cx:pt idx="90">1459</cx:pt>
          <cx:pt idx="91">1352</cx:pt>
          <cx:pt idx="92">814</cx:pt>
          <cx:pt idx="93">1006</cx:pt>
          <cx:pt idx="94">958</cx:pt>
          <cx:pt idx="95">1073</cx:pt>
          <cx:pt idx="96">726</cx:pt>
          <cx:pt idx="97">1593</cx:pt>
          <cx:pt idx="98">628</cx:pt>
          <cx:pt idx="99">880</cx:pt>
          <cx:pt idx="100">681</cx:pt>
          <cx:pt idx="101">264</cx:pt>
          <cx:pt idx="102">817</cx:pt>
          <cx:pt idx="103">614</cx:pt>
          <cx:pt idx="104">250</cx:pt>
          <cx:pt idx="105">893</cx:pt>
          <cx:pt idx="106">1276</cx:pt>
          <cx:pt idx="107">830</cx:pt>
          <cx:pt idx="108">931</cx:pt>
          <cx:pt idx="109">1373</cx:pt>
          <cx:pt idx="110">1768</cx:pt>
          <cx:pt idx="111">477</cx:pt>
          <cx:pt idx="112">1173</cx:pt>
          <cx:pt idx="113">939</cx:pt>
          <cx:pt idx="114">1720.5</cx:pt>
          <cx:pt idx="115">779.5</cx:pt>
          <cx:pt idx="116">380.5</cx:pt>
          <cx:pt idx="117">821</cx:pt>
          <cx:pt idx="118">895.5</cx:pt>
          <cx:pt idx="119">1389</cx:pt>
          <cx:pt idx="120">1667</cx:pt>
          <cx:pt idx="121">1276.3333333333333</cx:pt>
          <cx:pt idx="122">1039.5</cx:pt>
          <cx:pt idx="123">538</cx:pt>
          <cx:pt idx="124">1561</cx:pt>
          <cx:pt idx="125">1461</cx:pt>
          <cx:pt idx="126">199</cx:pt>
          <cx:pt idx="127">1356</cx:pt>
          <cx:pt idx="128">1757</cx:pt>
          <cx:pt idx="129">1132</cx:pt>
          <cx:pt idx="130">1869</cx:pt>
          <cx:pt idx="131">790</cx:pt>
          <cx:pt idx="132">1441</cx:pt>
          <cx:pt idx="133">1279</cx:pt>
          <cx:pt idx="134">1120</cx:pt>
          <cx:pt idx="135">1270</cx:pt>
          <cx:pt idx="136">663</cx:pt>
          <cx:pt idx="137">641</cx:pt>
          <cx:pt idx="138">1547</cx:pt>
          <cx:pt idx="139">1135</cx:pt>
          <cx:pt idx="140">1145</cx:pt>
          <cx:pt idx="141">1921</cx:pt>
          <cx:pt idx="142">1133</cx:pt>
          <cx:pt idx="143">1513</cx:pt>
          <cx:pt idx="144">832</cx:pt>
          <cx:pt idx="145">1506.5</cx:pt>
          <cx:pt idx="146">1533.5</cx:pt>
          <cx:pt idx="147">1861.5</cx:pt>
          <cx:pt idx="148">990.5</cx:pt>
          <cx:pt idx="149">1956</cx:pt>
          <cx:pt idx="150">1564</cx:pt>
          <cx:pt idx="151">1720</cx:pt>
          <cx:pt idx="152">1997</cx:pt>
          <cx:pt idx="153">1364</cx:pt>
          <cx:pt idx="154">887</cx:pt>
          <cx:pt idx="155">1835</cx:pt>
          <cx:pt idx="156">949</cx:pt>
          <cx:pt idx="157">1055</cx:pt>
          <cx:pt idx="158">1348</cx:pt>
          <cx:pt idx="159">1416</cx:pt>
          <cx:pt idx="160">2193</cx:pt>
          <cx:pt idx="161">1457</cx:pt>
          <cx:pt idx="162">1419</cx:pt>
          <cx:pt idx="163">1349</cx:pt>
          <cx:pt idx="164">969.5</cx:pt>
          <cx:pt idx="165">2102</cx:pt>
          <cx:pt idx="166">1759</cx:pt>
          <cx:pt idx="167">2036</cx:pt>
          <cx:pt idx="168">1725</cx:pt>
          <cx:pt idx="169">2027</cx:pt>
          <cx:pt idx="170">1968</cx:pt>
          <cx:pt idx="171">553</cx:pt>
          <cx:pt idx="172">1442</cx:pt>
          <cx:pt idx="173">1551</cx:pt>
          <cx:pt idx="174">1702</cx:pt>
          <cx:pt idx="175">1250</cx:pt>
          <cx:pt idx="176">1836</cx:pt>
          <cx:pt idx="177">420</cx:pt>
          <cx:pt idx="178">1679.5</cx:pt>
          <cx:pt idx="179">1676</cx:pt>
          <cx:pt idx="180">2016</cx:pt>
          <cx:pt idx="181">1645</cx:pt>
          <cx:pt idx="182">1107.5</cx:pt>
          <cx:pt idx="183">707</cx:pt>
          <cx:pt idx="184">1345</cx:pt>
          <cx:pt idx="185">1624</cx:pt>
          <cx:pt idx="186">1613</cx:pt>
          <cx:pt idx="187">1699.3333333333333</cx:pt>
          <cx:pt idx="188">859</cx:pt>
          <cx:pt idx="189">1542.3333333333333</cx:pt>
          <cx:pt idx="190">2072</cx:pt>
          <cx:pt idx="191">1722.5</cx:pt>
          <cx:pt idx="192">1701</cx:pt>
          <cx:pt idx="193">397</cx:pt>
          <cx:pt idx="194">1151</cx:pt>
          <cx:pt idx="195">1091</cx:pt>
          <cx:pt idx="196">941</cx:pt>
          <cx:pt idx="197">761</cx:pt>
          <cx:pt idx="198">1099</cx:pt>
          <cx:pt idx="199">1412</cx:pt>
          <cx:pt idx="200">670</cx:pt>
          <cx:pt idx="201">1947</cx:pt>
          <cx:pt idx="202">795</cx:pt>
          <cx:pt idx="203">671</cx:pt>
          <cx:pt idx="204">771</cx:pt>
          <cx:pt idx="205">504</cx:pt>
          <cx:pt idx="206">1262.25</cx:pt>
          <cx:pt idx="207">1409.5</cx:pt>
          <cx:pt idx="208">1844</cx:pt>
          <cx:pt idx="209">429</cx:pt>
          <cx:pt idx="210">1488</cx:pt>
          <cx:pt idx="211">1225.5</cx:pt>
          <cx:pt idx="212">976.5</cx:pt>
          <cx:pt idx="213">2067</cx:pt>
          <cx:pt idx="214">1444</cx:pt>
          <cx:pt idx="215">1034</cx:pt>
          <cx:pt idx="216">1869</cx:pt>
          <cx:pt idx="217">1696.6666666666667</cx:pt>
          <cx:pt idx="218">1678.5</cx:pt>
          <cx:pt idx="219">1569</cx:pt>
          <cx:pt idx="220">1784</cx:pt>
          <cx:pt idx="221">803</cx:pt>
          <cx:pt idx="222">1372</cx:pt>
          <cx:pt idx="223">1272</cx:pt>
          <cx:pt idx="224">1524.5</cx:pt>
          <cx:pt idx="225">1069.5</cx:pt>
          <cx:pt idx="226">1134</cx:pt>
          <cx:pt idx="227">915.33333333333337</cx:pt>
          <cx:pt idx="228">658</cx:pt>
          <cx:pt idx="229">932</cx:pt>
          <cx:pt idx="230">1210</cx:pt>
          <cx:pt idx="231">1694</cx:pt>
          <cx:pt idx="232">1429</cx:pt>
          <cx:pt idx="233">822</cx:pt>
          <cx:pt idx="234">496</cx:pt>
          <cx:pt idx="235">1934</cx:pt>
          <cx:pt idx="236">959</cx:pt>
          <cx:pt idx="237">678</cx:pt>
          <cx:pt idx="238">1119.5</cx:pt>
          <cx:pt idx="239">719</cx:pt>
          <cx:pt idx="240">965.5</cx:pt>
          <cx:pt idx="241">527</cx:pt>
          <cx:pt idx="242">1296</cx:pt>
          <cx:pt idx="243">586</cx:pt>
          <cx:pt idx="244">1212</cx:pt>
          <cx:pt idx="245">547</cx:pt>
          <cx:pt idx="246">896</cx:pt>
          <cx:pt idx="247">1480.5</cx:pt>
          <cx:pt idx="248">629</cx:pt>
          <cx:pt idx="249">756</cx:pt>
          <cx:pt idx="250">1071</cx:pt>
          <cx:pt idx="251">503.5</cx:pt>
          <cx:pt idx="252">1668</cx:pt>
          <cx:pt idx="253">1041.5</cx:pt>
          <cx:pt idx="254">1762</cx:pt>
          <cx:pt idx="255">1401.5</cx:pt>
          <cx:pt idx="256">1740</cx:pt>
          <cx:pt idx="257">217.5</cx:pt>
          <cx:pt idx="258">1345</cx:pt>
          <cx:pt idx="259">1675.5</cx:pt>
          <cx:pt idx="260">1445</cx:pt>
          <cx:pt idx="261">1646</cx:pt>
          <cx:pt idx="262">214</cx:pt>
          <cx:pt idx="263">921</cx:pt>
          <cx:pt idx="264">1406.5</cx:pt>
          <cx:pt idx="265">1313</cx:pt>
          <cx:pt idx="266">1353</cx:pt>
          <cx:pt idx="267">181</cx:pt>
          <cx:pt idx="268">981.33333333333337</cx:pt>
          <cx:pt idx="269">1209.5</cx:pt>
          <cx:pt idx="270">1210</cx:pt>
          <cx:pt idx="271">1287</cx:pt>
          <cx:pt idx="272">1869</cx:pt>
          <cx:pt idx="273">1431</cx:pt>
          <cx:pt idx="274">850</cx:pt>
          <cx:pt idx="275">1502.6666666666667</cx:pt>
          <cx:pt idx="276">978.33333333333337</cx:pt>
          <cx:pt idx="277">876.33333333333337</cx:pt>
          <cx:pt idx="278">1976</cx:pt>
          <cx:pt idx="279">1291</cx:pt>
          <cx:pt idx="280">1046</cx:pt>
          <cx:pt idx="281">1079</cx:pt>
          <cx:pt idx="282">681</cx:pt>
          <cx:pt idx="283">2342</cx:pt>
          <cx:pt idx="284">897</cx:pt>
          <cx:pt idx="285">1307.3333333333333</cx:pt>
          <cx:pt idx="286">1399</cx:pt>
          <cx:pt idx="287">28</cx:pt>
          <cx:pt idx="288">1205</cx:pt>
          <cx:pt idx="289">1138</cx:pt>
          <cx:pt idx="290">980</cx:pt>
          <cx:pt idx="291">1010</cx:pt>
          <cx:pt idx="292">1129.5</cx:pt>
          <cx:pt idx="293">913</cx:pt>
          <cx:pt idx="294">913</cx:pt>
          <cx:pt idx="295">391</cx:pt>
          <cx:pt idx="296">803</cx:pt>
          <cx:pt idx="297">1786</cx:pt>
          <cx:pt idx="298">1153</cx:pt>
          <cx:pt idx="299">2219</cx:pt>
          <cx:pt idx="300">1403</cx:pt>
          <cx:pt idx="301">1108</cx:pt>
          <cx:pt idx="302">1323</cx:pt>
          <cx:pt idx="303">232</cx:pt>
          <cx:pt idx="304">1017</cx:pt>
          <cx:pt idx="305">1246</cx:pt>
          <cx:pt idx="306">1094</cx:pt>
          <cx:pt idx="307">1981</cx:pt>
          <cx:pt idx="308">620</cx:pt>
          <cx:pt idx="309">1284</cx:pt>
          <cx:pt idx="310">1245</cx:pt>
          <cx:pt idx="311">1105.5</cx:pt>
          <cx:pt idx="312">1183.5</cx:pt>
          <cx:pt idx="313">1222.75</cx:pt>
          <cx:pt idx="314">1093</cx:pt>
          <cx:pt idx="315">1337.5</cx:pt>
          <cx:pt idx="316">928</cx:pt>
          <cx:pt idx="317">1162.75</cx:pt>
          <cx:pt idx="318">1140.5</cx:pt>
          <cx:pt idx="319">1151</cx:pt>
          <cx:pt idx="320">1196</cx:pt>
          <cx:pt idx="321">1529.5</cx:pt>
          <cx:pt idx="322">1064</cx:pt>
          <cx:pt idx="323">1026.5</cx:pt>
          <cx:pt idx="324">604.5</cx:pt>
          <cx:pt idx="325">1382.5</cx:pt>
          <cx:pt idx="326">803.66666666666663</cx:pt>
          <cx:pt idx="327">1227.5</cx:pt>
          <cx:pt idx="328">1206</cx:pt>
          <cx:pt idx="329">870</cx:pt>
          <cx:pt idx="330">1839</cx:pt>
          <cx:pt idx="331">1633</cx:pt>
          <cx:pt idx="332">1057</cx:pt>
          <cx:pt idx="333">4445</cx:pt>
          <cx:pt idx="334">2303.5</cx:pt>
          <cx:pt idx="335">5980</cx:pt>
          <cx:pt idx="336">1400.5</cx:pt>
          <cx:pt idx="337">839.75</cx:pt>
          <cx:pt idx="338">1299</cx:pt>
          <cx:pt idx="339">1414.5</cx:pt>
          <cx:pt idx="340">597</cx:pt>
          <cx:pt idx="341">479</cx:pt>
          <cx:pt idx="342">816</cx:pt>
          <cx:pt idx="343">1001</cx:pt>
          <cx:pt idx="344">903.66666666666663</cx:pt>
          <cx:pt idx="345">1332.5</cx:pt>
          <cx:pt idx="346">975</cx:pt>
          <cx:pt idx="347">560</cx:pt>
          <cx:pt idx="348">873.5</cx:pt>
          <cx:pt idx="349">967.5</cx:pt>
          <cx:pt idx="350">1048.3333333333333</cx:pt>
          <cx:pt idx="351">893</cx:pt>
          <cx:pt idx="352">419.33333333333331</cx:pt>
          <cx:pt idx="353">1465</cx:pt>
          <cx:pt idx="354">808</cx:pt>
          <cx:pt idx="355">1245</cx:pt>
          <cx:pt idx="356">719</cx:pt>
          <cx:pt idx="357">598</cx:pt>
          <cx:pt idx="358">1424</cx:pt>
          <cx:pt idx="359">723</cx:pt>
          <cx:pt idx="360">864</cx:pt>
          <cx:pt idx="361">981.75</cx:pt>
          <cx:pt idx="362">1478.2</cx:pt>
          <cx:pt idx="363">1526.5</cx:pt>
          <cx:pt idx="364">465</cx:pt>
          <cx:pt idx="365">905</cx:pt>
          <cx:pt idx="366">1382.5</cx:pt>
          <cx:pt idx="367">409</cx:pt>
          <cx:pt idx="368">234</cx:pt>
          <cx:pt idx="369">860</cx:pt>
          <cx:pt idx="370">579</cx:pt>
          <cx:pt idx="371">900.33333333333337</cx:pt>
          <cx:pt idx="372">143</cx:pt>
          <cx:pt idx="373">610.5</cx:pt>
          <cx:pt idx="374">909</cx:pt>
          <cx:pt idx="375">1051</cx:pt>
          <cx:pt idx="376">920</cx:pt>
          <cx:pt idx="377">785</cx:pt>
          <cx:pt idx="378">1170</cx:pt>
          <cx:pt idx="379">1383</cx:pt>
          <cx:pt idx="380">952</cx:pt>
          <cx:pt idx="381">909</cx:pt>
          <cx:pt idx="382">707</cx:pt>
          <cx:pt idx="383">1446</cx:pt>
          <cx:pt idx="384">1417</cx:pt>
          <cx:pt idx="385">1784</cx:pt>
          <cx:pt idx="386">1387</cx:pt>
          <cx:pt idx="387">1547</cx:pt>
          <cx:pt idx="388">883.5</cx:pt>
          <cx:pt idx="389">2284</cx:pt>
          <cx:pt idx="390">975.5</cx:pt>
          <cx:pt idx="391">1539</cx:pt>
          <cx:pt idx="392">3116.6666666666665</cx:pt>
          <cx:pt idx="393">1240.8</cx:pt>
          <cx:pt idx="394">594</cx:pt>
          <cx:pt idx="395">1196</cx:pt>
          <cx:pt idx="396">542</cx:pt>
          <cx:pt idx="397">359.5</cx:pt>
          <cx:pt idx="398">319</cx:pt>
          <cx:pt idx="399">137</cx:pt>
          <cx:pt idx="400">1379</cx:pt>
          <cx:pt idx="401">393</cx:pt>
          <cx:pt idx="402">300</cx:pt>
          <cx:pt idx="403">356</cx:pt>
          <cx:pt idx="404">233</cx:pt>
          <cx:pt idx="405">592</cx:pt>
          <cx:pt idx="406">413</cx:pt>
          <cx:pt idx="407">505</cx:pt>
          <cx:pt idx="408">1006</cx:pt>
          <cx:pt idx="409">165.33333333333334</cx:pt>
          <cx:pt idx="410">464</cx:pt>
          <cx:pt idx="411">502</cx:pt>
          <cx:pt idx="412">192</cx:pt>
          <cx:pt idx="413">686</cx:pt>
          <cx:pt idx="414">443</cx:pt>
          <cx:pt idx="415">537</cx:pt>
          <cx:pt idx="416">406</cx:pt>
          <cx:pt idx="417">511</cx:pt>
          <cx:pt idx="418">280</cx:pt>
          <cx:pt idx="419">153</cx:pt>
          <cx:pt idx="420">72</cx:pt>
          <cx:pt idx="421">388</cx:pt>
          <cx:pt idx="422">219</cx:pt>
          <cx:pt idx="423">298.66666666666669</cx:pt>
          <cx:pt idx="424">220</cx:pt>
          <cx:pt idx="425">395.5</cx:pt>
          <cx:pt idx="426">540</cx:pt>
          <cx:pt idx="427">195</cx:pt>
          <cx:pt idx="428">654</cx:pt>
          <cx:pt idx="429">279</cx:pt>
          <cx:pt idx="430">612</cx:pt>
          <cx:pt idx="431">520</cx:pt>
          <cx:pt idx="432">92</cx:pt>
          <cx:pt idx="433">427.66666666666669</cx:pt>
          <cx:pt idx="434">674</cx:pt>
          <cx:pt idx="435">414</cx:pt>
          <cx:pt idx="436">268</cx:pt>
          <cx:pt idx="437">474</cx:pt>
          <cx:pt idx="438">274</cx:pt>
          <cx:pt idx="439">526</cx:pt>
          <cx:pt idx="440">368.33333333333331</cx:pt>
          <cx:pt idx="441">491</cx:pt>
          <cx:pt idx="442">664</cx:pt>
          <cx:pt idx="443">737</cx:pt>
          <cx:pt idx="444">655</cx:pt>
          <cx:pt idx="445">1198</cx:pt>
          <cx:pt idx="446">957</cx:pt>
          <cx:pt idx="447">1784</cx:pt>
          <cx:pt idx="448">954</cx:pt>
          <cx:pt idx="449">2309</cx:pt>
          <cx:pt idx="450">621</cx:pt>
          <cx:pt idx="451">1468</cx:pt>
          <cx:pt idx="452">1256</cx:pt>
          <cx:pt idx="453">877</cx:pt>
          <cx:pt idx="454">1868</cx:pt>
          <cx:pt idx="455">922</cx:pt>
          <cx:pt idx="456">1097</cx:pt>
          <cx:pt idx="457">859</cx:pt>
          <cx:pt idx="458">575</cx:pt>
          <cx:pt idx="459">1258</cx:pt>
          <cx:pt idx="460">1269.5</cx:pt>
          <cx:pt idx="461">1042</cx:pt>
          <cx:pt idx="462">1170</cx:pt>
          <cx:pt idx="463">1542</cx:pt>
          <cx:pt idx="464">1354</cx:pt>
          <cx:pt idx="465">1213.3333333333333</cx:pt>
          <cx:pt idx="466">1120</cx:pt>
          <cx:pt idx="467">1611.3333333333333</cx:pt>
          <cx:pt idx="468">1341.3333333333333</cx:pt>
          <cx:pt idx="469">711</cx:pt>
          <cx:pt idx="470">1960</cx:pt>
          <cx:pt idx="471">1486</cx:pt>
          <cx:pt idx="472">1499</cx:pt>
          <cx:pt idx="473">1026</cx:pt>
          <cx:pt idx="474">1214</cx:pt>
          <cx:pt idx="475">1598</cx:pt>
          <cx:pt idx="476">1382.5</cx:pt>
          <cx:pt idx="477">1814</cx:pt>
          <cx:pt idx="478">1605</cx:pt>
          <cx:pt idx="479">1069.3333333333333</cx:pt>
          <cx:pt idx="480">1654.5</cx:pt>
          <cx:pt idx="481">1243</cx:pt>
          <cx:pt idx="482">1646.5</cx:pt>
          <cx:pt idx="483">1470</cx:pt>
          <cx:pt idx="484">1716</cx:pt>
          <cx:pt idx="485">1930</cx:pt>
          <cx:pt idx="486">1649</cx:pt>
          <cx:pt idx="487">1665</cx:pt>
          <cx:pt idx="488">975</cx:pt>
          <cx:pt idx="489">1206.25</cx:pt>
          <cx:pt idx="490">1812</cx:pt>
          <cx:pt idx="491">1496</cx:pt>
          <cx:pt idx="492">1140</cx:pt>
          <cx:pt idx="493">1065</cx:pt>
          <cx:pt idx="494">1462</cx:pt>
          <cx:pt idx="495">1490</cx:pt>
          <cx:pt idx="496">1626</cx:pt>
          <cx:pt idx="497">822</cx:pt>
          <cx:pt idx="498">1310</cx:pt>
          <cx:pt idx="499">778</cx:pt>
          <cx:pt idx="500">1343</cx:pt>
          <cx:pt idx="501">1051</cx:pt>
          <cx:pt idx="502">1256</cx:pt>
          <cx:pt idx="503">761</cx:pt>
          <cx:pt idx="504">480</cx:pt>
          <cx:pt idx="505">236</cx:pt>
          <cx:pt idx="506">0</cx:pt>
          <cx:pt idx="507">779</cx:pt>
          <cx:pt idx="508">249</cx:pt>
          <cx:pt idx="509">328.5</cx:pt>
          <cx:pt idx="510">608</cx:pt>
          <cx:pt idx="511">297</cx:pt>
          <cx:pt idx="512">228</cx:pt>
          <cx:pt idx="513">0</cx:pt>
          <cx:pt idx="514">346</cx:pt>
          <cx:pt idx="515">302</cx:pt>
          <cx:pt idx="516">945</cx:pt>
          <cx:pt idx="517">1153</cx:pt>
          <cx:pt idx="518">1389</cx:pt>
          <cx:pt idx="519">878</cx:pt>
          <cx:pt idx="520">639</cx:pt>
          <cx:pt idx="521">1086</cx:pt>
          <cx:pt idx="522">1176</cx:pt>
          <cx:pt idx="523">998</cx:pt>
          <cx:pt idx="524">1135</cx:pt>
          <cx:pt idx="525">1094</cx:pt>
          <cx:pt idx="526">1168</cx:pt>
          <cx:pt idx="527">655</cx:pt>
          <cx:pt idx="528">1470</cx:pt>
          <cx:pt idx="529">1000.3333333333334</cx:pt>
          <cx:pt idx="530">1097</cx:pt>
          <cx:pt idx="531">1687</cx:pt>
          <cx:pt idx="532">995</cx:pt>
          <cx:pt idx="533">555</cx:pt>
          <cx:pt idx="534">1721</cx:pt>
          <cx:pt idx="535">1560.5</cx:pt>
          <cx:pt idx="536">1184</cx:pt>
          <cx:pt idx="537">990</cx:pt>
          <cx:pt idx="538">342</cx:pt>
          <cx:pt idx="539">1572</cx:pt>
          <cx:pt idx="540">1366</cx:pt>
          <cx:pt idx="541">1461</cx:pt>
          <cx:pt idx="542">1304.5</cx:pt>
          <cx:pt idx="543">775</cx:pt>
          <cx:pt idx="544">789.25</cx:pt>
          <cx:pt idx="545">740</cx:pt>
          <cx:pt idx="546">911.33333333333337</cx:pt>
          <cx:pt idx="547">568</cx:pt>
          <cx:pt idx="548">770</cx:pt>
          <cx:pt idx="549">719</cx:pt>
          <cx:pt idx="550">1386</cx:pt>
          <cx:pt idx="551">1276</cx:pt>
          <cx:pt idx="552">1706</cx:pt>
          <cx:pt idx="553">660</cx:pt>
          <cx:pt idx="554">685</cx:pt>
          <cx:pt idx="555">1466</cx:pt>
          <cx:pt idx="556">2039</cx:pt>
          <cx:pt idx="557">1440</cx:pt>
          <cx:pt idx="558">1184.5</cx:pt>
          <cx:pt idx="559">958</cx:pt>
          <cx:pt idx="560">1623</cx:pt>
          <cx:pt idx="561">761.5</cx:pt>
          <cx:pt idx="562">1746</cx:pt>
          <cx:pt idx="563">2401</cx:pt>
          <cx:pt idx="564">1024</cx:pt>
          <cx:pt idx="565">1222.5</cx:pt>
          <cx:pt idx="566">1771</cx:pt>
          <cx:pt idx="567">2594</cx:pt>
          <cx:pt idx="568">1234</cx:pt>
          <cx:pt idx="569">1387.5</cx:pt>
          <cx:pt idx="570">937</cx:pt>
          <cx:pt idx="571">1368</cx:pt>
          <cx:pt idx="572">1505</cx:pt>
          <cx:pt idx="573">915</cx:pt>
          <cx:pt idx="574">1776</cx:pt>
          <cx:pt idx="575">1054</cx:pt>
          <cx:pt idx="576">944</cx:pt>
          <cx:pt idx="577">1077</cx:pt>
          <cx:pt idx="578">830</cx:pt>
          <cx:pt idx="579">864</cx:pt>
          <cx:pt idx="580">1381.5</cx:pt>
          <cx:pt idx="581">794</cx:pt>
          <cx:pt idx="582">852</cx:pt>
          <cx:pt idx="583">1234</cx:pt>
          <cx:pt idx="584">98</cx:pt>
          <cx:pt idx="585">1257</cx:pt>
          <cx:pt idx="586">1166</cx:pt>
          <cx:pt idx="587">324</cx:pt>
          <cx:pt idx="588">1171</cx:pt>
          <cx:pt idx="589">932</cx:pt>
          <cx:pt idx="590">1041</cx:pt>
          <cx:pt idx="591">1608.5</cx:pt>
          <cx:pt idx="592">1629</cx:pt>
          <cx:pt idx="593">1380</cx:pt>
          <cx:pt idx="594">1875.5</cx:pt>
          <cx:pt idx="595">432</cx:pt>
          <cx:pt idx="596">2374</cx:pt>
          <cx:pt idx="597">1717.5</cx:pt>
          <cx:pt idx="598">1516</cx:pt>
          <cx:pt idx="599">2352.5</cx:pt>
          <cx:pt idx="600">2493</cx:pt>
          <cx:pt idx="601">2281</cx:pt>
          <cx:pt idx="602">1760</cx:pt>
          <cx:pt idx="603">566</cx:pt>
          <cx:pt idx="604">453</cx:pt>
          <cx:pt idx="605">1090</cx:pt>
          <cx:pt idx="606">828</cx:pt>
          <cx:pt idx="607">984.5</cx:pt>
          <cx:pt idx="608">1215.3333333333333</cx:pt>
          <cx:pt idx="609">1628</cx:pt>
          <cx:pt idx="610">464</cx:pt>
          <cx:pt idx="611">811</cx:pt>
          <cx:pt idx="612">1989</cx:pt>
          <cx:pt idx="613">705</cx:pt>
          <cx:pt idx="614">1381</cx:pt>
          <cx:pt idx="615">1207</cx:pt>
          <cx:pt idx="616">1247</cx:pt>
          <cx:pt idx="617">451</cx:pt>
          <cx:pt idx="618">698</cx:pt>
          <cx:pt idx="619">1538</cx:pt>
          <cx:pt idx="620">870</cx:pt>
          <cx:pt idx="621">1003.5</cx:pt>
          <cx:pt idx="622">1539</cx:pt>
          <cx:pt idx="623">793</cx:pt>
          <cx:pt idx="624">784.33333333333337</cx:pt>
          <cx:pt idx="625">839</cx:pt>
          <cx:pt idx="626">1574</cx:pt>
          <cx:pt idx="627">410</cx:pt>
          <cx:pt idx="628">1031</cx:pt>
          <cx:pt idx="629">775</cx:pt>
          <cx:pt idx="630">859.5</cx:pt>
          <cx:pt idx="631">1472</cx:pt>
          <cx:pt idx="632">406</cx:pt>
          <cx:pt idx="633">1355.5</cx:pt>
          <cx:pt idx="634">1139.5</cx:pt>
          <cx:pt idx="635">1582</cx:pt>
          <cx:pt idx="636">789</cx:pt>
          <cx:pt idx="637">1218.5</cx:pt>
          <cx:pt idx="638">1107.6666666666667</cx:pt>
          <cx:pt idx="639">863</cx:pt>
          <cx:pt idx="640">1021.5</cx:pt>
          <cx:pt idx="641">875</cx:pt>
          <cx:pt idx="642">2362</cx:pt>
          <cx:pt idx="643">1659</cx:pt>
          <cx:pt idx="644">2522</cx:pt>
          <cx:pt idx="645">1280.75</cx:pt>
          <cx:pt idx="646">1029.5</cx:pt>
          <cx:pt idx="647">1870</cx:pt>
          <cx:pt idx="648">933</cx:pt>
          <cx:pt idx="649">518</cx:pt>
          <cx:pt idx="650">2198.3333333333335</cx:pt>
          <cx:pt idx="651">1437.25</cx:pt>
          <cx:pt idx="652">840.25</cx:pt>
          <cx:pt idx="653">1870</cx:pt>
          <cx:pt idx="654">771.66666666666663</cx:pt>
          <cx:pt idx="655">1892.3333333333333</cx:pt>
          <cx:pt idx="656">1187.5</cx:pt>
          <cx:pt idx="657">951.33333333333337</cx:pt>
          <cx:pt idx="658">887.5</cx:pt>
          <cx:pt idx="659">2087</cx:pt>
          <cx:pt idx="660">996</cx:pt>
          <cx:pt idx="661">568</cx:pt>
          <cx:pt idx="662">1628.5714285714287</cx:pt>
          <cx:pt idx="663">1616.6666666666667</cx:pt>
          <cx:pt idx="664">1908.5</cx:pt>
          <cx:pt idx="665">2043.8</cx:pt>
          <cx:pt idx="666">1198.25</cx:pt>
          <cx:pt idx="667">2068</cx:pt>
          <cx:pt idx="668">734</cx:pt>
          <cx:pt idx="669">2390</cx:pt>
          <cx:pt idx="670">1918</cx:pt>
          <cx:pt idx="671">1009</cx:pt>
          <cx:pt idx="672">1227</cx:pt>
          <cx:pt idx="673">1512</cx:pt>
          <cx:pt idx="674">2014</cx:pt>
          <cx:pt idx="675">1104</cx:pt>
          <cx:pt idx="676">2135</cx:pt>
          <cx:pt idx="677">1614</cx:pt>
          <cx:pt idx="678">1557</cx:pt>
          <cx:pt idx="679">746.66666666666663</cx:pt>
          <cx:pt idx="680">1010</cx:pt>
          <cx:pt idx="681">209</cx:pt>
          <cx:pt idx="682">950</cx:pt>
          <cx:pt idx="683">544</cx:pt>
          <cx:pt idx="684">559</cx:pt>
          <cx:pt idx="685">742</cx:pt>
          <cx:pt idx="686">2570.5</cx:pt>
          <cx:pt idx="687">764</cx:pt>
          <cx:pt idx="688">476</cx:pt>
          <cx:pt idx="689">918</cx:pt>
          <cx:pt idx="690">561</cx:pt>
          <cx:pt idx="691">2358</cx:pt>
          <cx:pt idx="692">1001</cx:pt>
          <cx:pt idx="693">1809</cx:pt>
          <cx:pt idx="694">1908</cx:pt>
          <cx:pt idx="695">2158.3333333333335</cx:pt>
          <cx:pt idx="696">2255.25</cx:pt>
          <cx:pt idx="697">1835</cx:pt>
          <cx:pt idx="698">1993.8</cx:pt>
          <cx:pt idx="699">1204</cx:pt>
          <cx:pt idx="700">2430.3333333333335</cx:pt>
          <cx:pt idx="701">2142.5</cx:pt>
          <cx:pt idx="702">2766.3333333333335</cx:pt>
          <cx:pt idx="703">1861.5</cx:pt>
          <cx:pt idx="704">334</cx:pt>
          <cx:pt idx="705">2270</cx:pt>
          <cx:pt idx="706">1514</cx:pt>
          <cx:pt idx="707">548</cx:pt>
          <cx:pt idx="708">1155</cx:pt>
          <cx:pt idx="709">1301</cx:pt>
          <cx:pt idx="710">1470</cx:pt>
          <cx:pt idx="711">903</cx:pt>
          <cx:pt idx="712">1439</cx:pt>
          <cx:pt idx="713">1043</cx:pt>
          <cx:pt idx="714">856</cx:pt>
          <cx:pt idx="715">873</cx:pt>
          <cx:pt idx="716">637</cx:pt>
          <cx:pt idx="717">1169</cx:pt>
          <cx:pt idx="718">2042</cx:pt>
          <cx:pt idx="719">1843</cx:pt>
          <cx:pt idx="720">1244</cx:pt>
          <cx:pt idx="721">1535</cx:pt>
          <cx:pt idx="722">1439.2857142857142</cx:pt>
          <cx:pt idx="723">1853.5</cx:pt>
          <cx:pt idx="724">613</cx:pt>
          <cx:pt idx="725">1046.5</cx:pt>
          <cx:pt idx="726">1647</cx:pt>
          <cx:pt idx="727">2014</cx:pt>
          <cx:pt idx="728">1681.2</cx:pt>
          <cx:pt idx="729">1351</cx:pt>
          <cx:pt idx="730">1175</cx:pt>
          <cx:pt idx="731">1443.5</cx:pt>
          <cx:pt idx="732">1916.5</cx:pt>
          <cx:pt idx="733">1387</cx:pt>
          <cx:pt idx="734">1021</cx:pt>
          <cx:pt idx="735">1372</cx:pt>
          <cx:pt idx="736">1406.5</cx:pt>
          <cx:pt idx="737">1298.5</cx:pt>
          <cx:pt idx="738">1769.5</cx:pt>
          <cx:pt idx="739">1712.5</cx:pt>
          <cx:pt idx="740">791</cx:pt>
          <cx:pt idx="741">383</cx:pt>
          <cx:pt idx="742">1274</cx:pt>
          <cx:pt idx="743">837.5</cx:pt>
          <cx:pt idx="744">737.5</cx:pt>
          <cx:pt idx="745">1686.5</cx:pt>
          <cx:pt idx="746">550.5</cx:pt>
          <cx:pt idx="747">697</cx:pt>
          <cx:pt idx="748">1486.5</cx:pt>
          <cx:pt idx="749">1730.5</cx:pt>
          <cx:pt idx="750">763.5</cx:pt>
          <cx:pt idx="751">589</cx:pt>
          <cx:pt idx="752">815</cx:pt>
          <cx:pt idx="753">724.5</cx:pt>
          <cx:pt idx="754">1498.5</cx:pt>
          <cx:pt idx="755">1376</cx:pt>
          <cx:pt idx="756">680.5</cx:pt>
          <cx:pt idx="757">466.5</cx:pt>
          <cx:pt idx="758">764</cx:pt>
          <cx:pt idx="759">1470</cx:pt>
          <cx:pt idx="760">1321.3333333333333</cx:pt>
          <cx:pt idx="761">1221</cx:pt>
          <cx:pt idx="762">1284.5</cx:pt>
          <cx:pt idx="763">1461</cx:pt>
          <cx:pt idx="764">799</cx:pt>
          <cx:pt idx="765">1053.5</cx:pt>
          <cx:pt idx="766">1573</cx:pt>
          <cx:pt idx="767">1562</cx:pt>
          <cx:pt idx="768">1435.8333333333333</cx:pt>
          <cx:pt idx="769">956.66666666666663</cx:pt>
          <cx:pt idx="770">1477</cx:pt>
          <cx:pt idx="771">1930</cx:pt>
          <cx:pt idx="772">1273</cx:pt>
          <cx:pt idx="773">1297.3333333333333</cx:pt>
          <cx:pt idx="774">858</cx:pt>
          <cx:pt idx="775">1789</cx:pt>
          <cx:pt idx="776">997</cx:pt>
          <cx:pt idx="777">433</cx:pt>
          <cx:pt idx="778">428.5</cx:pt>
        </cx:lvl>
      </cx:numDim>
    </cx:data>
  </cx:chartData>
  <cx:chart>
    <cx:title pos="t" align="ctr" overlay="0">
      <cx:tx>
        <cx:rich>
          <a:bodyPr spcFirstLastPara="1" vertOverflow="ellipsis" horzOverflow="overflow" wrap="square" lIns="0" tIns="0" rIns="0" bIns="0" anchor="ctr" anchorCtr="1"/>
          <a:lstStyle/>
          <a:p>
            <a:pPr rtl="0">
              <a:defRPr sz="1000"/>
            </a:pPr>
            <a:r>
              <a:rPr lang="et-EE" sz="1000" b="0" i="0" baseline="0">
                <a:effectLst/>
              </a:rPr>
              <a:t>Distribution of FDs by number of enrolled patients for rural providers</a:t>
            </a:r>
            <a:endParaRPr lang="et-EE" sz="1000">
              <a:effectLst/>
            </a:endParaRPr>
          </a:p>
        </cx:rich>
      </cx:tx>
    </cx:title>
    <cx:plotArea>
      <cx:plotAreaRegion>
        <cx:series layoutId="clusteredColumn" uniqueId="{384375EC-3508-4F7A-A327-0277300ED9DB}">
          <cx:tx>
            <cx:txData>
              <cx:f>'Rural Providers'!$G$1</cx:f>
              <cx:v>Number of providers</cx:v>
            </cx:txData>
          </cx:tx>
          <cx:dataLabels pos="outEnd">
            <cx:txPr>
              <a:bodyPr vertOverflow="overflow" horzOverflow="overflow" wrap="square" lIns="0" tIns="0" rIns="0" bIns="0"/>
              <a:lstStyle/>
              <a:p>
                <a:pPr algn="ctr" rtl="0">
                  <a:defRPr sz="900" b="0" i="0">
                    <a:solidFill>
                      <a:srgbClr val="595959"/>
                    </a:solidFill>
                    <a:latin typeface="Calibri" panose="020F0502020204030204" pitchFamily="34" charset="0"/>
                    <a:ea typeface="Calibri" panose="020F0502020204030204" pitchFamily="34" charset="0"/>
                    <a:cs typeface="Calibri" panose="020F0502020204030204" pitchFamily="34" charset="0"/>
                  </a:defRPr>
                </a:pPr>
                <a:endParaRPr lang="et-EE" sz="900"/>
              </a:p>
            </cx:txPr>
            <cx:visibility seriesName="0" categoryName="0" value="1"/>
          </cx:dataLabels>
          <cx:dataId val="0"/>
          <cx:layoutPr>
            <cx:binning intervalClosed="r">
              <cx:binSize val="500"/>
            </cx:binning>
          </cx:layoutPr>
        </cx:series>
      </cx:plotAreaRegion>
      <cx:axis id="0">
        <cx:catScaling gapWidth="0"/>
        <cx:title>
          <cx:tx>
            <cx:rich>
              <a:bodyPr spcFirstLastPara="1" vertOverflow="ellipsis" horzOverflow="overflow" wrap="square" lIns="0" tIns="0" rIns="0" bIns="0" anchor="ctr" anchorCtr="1"/>
              <a:lstStyle/>
              <a:p>
                <a:pPr marL="0" marR="0" lvl="0" indent="0" algn="ctr" defTabSz="914400" rtl="0" eaLnBrk="1" fontAlgn="auto" latinLnBrk="0" hangingPunct="1">
                  <a:lnSpc>
                    <a:spcPct val="100000"/>
                  </a:lnSpc>
                  <a:spcBef>
                    <a:spcPts val="0"/>
                  </a:spcBef>
                  <a:spcAft>
                    <a:spcPts val="0"/>
                  </a:spcAft>
                  <a:buClrTx/>
                  <a:buSzTx/>
                  <a:buFontTx/>
                  <a:buNone/>
                  <a:tabLst/>
                  <a:defRPr sz="1000"/>
                </a:pPr>
                <a:r>
                  <a:rPr lang="et-EE" sz="1000" b="0" i="0" u="none" strike="noStrike" baseline="0">
                    <a:solidFill>
                      <a:sysClr val="windowText" lastClr="000000">
                        <a:lumMod val="65000"/>
                        <a:lumOff val="35000"/>
                      </a:sysClr>
                    </a:solidFill>
                    <a:effectLst/>
                    <a:latin typeface="Calibri" panose="020F0502020204030204"/>
                    <a:ea typeface="Calibri" panose="020F0502020204030204" pitchFamily="34" charset="0"/>
                    <a:cs typeface="Calibri" panose="020F0502020204030204" pitchFamily="34" charset="0"/>
                  </a:rPr>
                  <a:t>Size of patient list</a:t>
                </a:r>
                <a:endParaRPr lang="et-EE" sz="1000">
                  <a:effectLst/>
                </a:endParaRPr>
              </a:p>
            </cx:rich>
          </cx:tx>
        </cx:title>
        <cx:majorTickMarks type="out"/>
        <cx:tickLabels/>
        <cx:txPr>
          <a:bodyPr vertOverflow="overflow" horzOverflow="overflow" wrap="square" lIns="0" tIns="0" rIns="0" bIns="0"/>
          <a:lstStyle/>
          <a:p>
            <a:pPr algn="ctr" rtl="0">
              <a:defRPr sz="900" b="0" i="0">
                <a:solidFill>
                  <a:srgbClr val="595959"/>
                </a:solidFill>
                <a:latin typeface="Calibri" panose="020F0502020204030204" pitchFamily="34" charset="0"/>
                <a:ea typeface="Calibri" panose="020F0502020204030204" pitchFamily="34" charset="0"/>
                <a:cs typeface="Calibri" panose="020F0502020204030204" pitchFamily="34" charset="0"/>
              </a:defRPr>
            </a:pPr>
            <a:endParaRPr lang="et-EE" sz="900"/>
          </a:p>
        </cx:txPr>
      </cx:axis>
      <cx:axis id="1" hidden="1">
        <cx:valScaling/>
        <cx:title>
          <cx:tx>
            <cx:txData>
              <cx:v>Number of providers</cx:v>
            </cx:txData>
          </cx:tx>
          <cx:txPr>
            <a:bodyPr spcFirstLastPara="1" vertOverflow="ellipsis" horzOverflow="overflow" wrap="square" lIns="0" tIns="0" rIns="0" bIns="0" anchor="ctr" anchorCtr="1"/>
            <a:lstStyle/>
            <a:p>
              <a:pPr algn="ctr" rtl="0">
                <a:defRPr sz="1000"/>
              </a:pPr>
              <a:r>
                <a:rPr lang="et-EE" sz="1000" b="0" i="0" u="none" strike="noStrike" baseline="0">
                  <a:solidFill>
                    <a:sysClr val="windowText" lastClr="000000">
                      <a:lumMod val="65000"/>
                      <a:lumOff val="35000"/>
                    </a:sysClr>
                  </a:solidFill>
                  <a:latin typeface="Calibri" panose="020F0502020204030204"/>
                </a:rPr>
                <a:t>Number of providers</a:t>
              </a:r>
            </a:p>
          </cx:txPr>
        </cx:title>
        <cx:majorTickMarks type="out"/>
        <cx:tickLabels/>
        <cx:txPr>
          <a:bodyPr vertOverflow="overflow" horzOverflow="overflow" wrap="square" lIns="0" tIns="0" rIns="0" bIns="0"/>
          <a:lstStyle/>
          <a:p>
            <a:pPr algn="ctr" rtl="0">
              <a:defRPr sz="1000" b="0" i="0">
                <a:solidFill>
                  <a:srgbClr val="595959"/>
                </a:solidFill>
                <a:latin typeface="Calibri" panose="020F0502020204030204" pitchFamily="34" charset="0"/>
                <a:ea typeface="Calibri" panose="020F0502020204030204" pitchFamily="34" charset="0"/>
                <a:cs typeface="Calibri" panose="020F0502020204030204" pitchFamily="34" charset="0"/>
              </a:defRPr>
            </a:pPr>
            <a:endParaRPr lang="et-EE" sz="1000"/>
          </a:p>
        </cx:txPr>
      </cx:axis>
    </cx:plotArea>
  </cx:chart>
  <cx:clrMapOvr bg1="lt1" tx1="dk1" bg2="lt2" tx2="dk2" accent1="accent1" accent2="accent2" accent3="accent3" accent4="accent4" accent5="accent5" accent6="accent6" hlink="hlink" folHlink="folHlink"/>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66">
  <cs:axisTitle>
    <cs:lnRef idx="0"/>
    <cs:fillRef idx="0"/>
    <cs:effectRef idx="0"/>
    <cs:fontRef idx="minor">
      <a:schemeClr val="tx1">
        <a:lumMod val="65000"/>
        <a:lumOff val="35000"/>
      </a:schemeClr>
    </cs:fontRef>
    <cs:defRPr sz="9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cs:chartArea>
  <cs:dataLabel>
    <cs:lnRef idx="0"/>
    <cs:fillRef idx="0"/>
    <cs:effectRef idx="0"/>
    <cs:fontRef idx="minor">
      <a:schemeClr val="tx1">
        <a:lumMod val="65000"/>
        <a:lumOff val="35000"/>
      </a:schemeClr>
    </cs:fontRef>
    <cs:defRPr sz="9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40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D262D50CC57945AD6FEFE9AE2E5436" ma:contentTypeVersion="6" ma:contentTypeDescription="Create a new document." ma:contentTypeScope="" ma:versionID="4f881e4ace995c0270874f5591d8b62d">
  <xsd:schema xmlns:xsd="http://www.w3.org/2001/XMLSchema" xmlns:xs="http://www.w3.org/2001/XMLSchema" xmlns:p="http://schemas.microsoft.com/office/2006/metadata/properties" xmlns:ns2="db7f31c8-f934-41b7-9210-886d41bdb092" xmlns:ns3="a923813a-6fc0-4e7e-9ca3-71dffaa792ec" targetNamespace="http://schemas.microsoft.com/office/2006/metadata/properties" ma:root="true" ma:fieldsID="9d3b03774715351c02958959172b9de4" ns2:_="" ns3:_="">
    <xsd:import namespace="db7f31c8-f934-41b7-9210-886d41bdb092"/>
    <xsd:import namespace="a923813a-6fc0-4e7e-9ca3-71dffaa792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7f31c8-f934-41b7-9210-886d41bdb0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23813a-6fc0-4e7e-9ca3-71dffaa792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923813a-6fc0-4e7e-9ca3-71dffaa792ec">
      <UserInfo>
        <DisplayName>EKBERG, Allison</DisplayName>
        <AccountId>22</AccountId>
        <AccountType/>
      </UserInfo>
      <UserInfo>
        <DisplayName>kaijakasekamp</DisplayName>
        <AccountId>17</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6C43-8E38-4BCD-9F05-2D109E7B936C}">
  <ds:schemaRefs>
    <ds:schemaRef ds:uri="http://schemas.microsoft.com/sharepoint/v3/contenttype/forms"/>
  </ds:schemaRefs>
</ds:datastoreItem>
</file>

<file path=customXml/itemProps2.xml><?xml version="1.0" encoding="utf-8"?>
<ds:datastoreItem xmlns:ds="http://schemas.openxmlformats.org/officeDocument/2006/customXml" ds:itemID="{88A7D3A3-582A-46FE-B2B1-1B0D1FE19B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7f31c8-f934-41b7-9210-886d41bdb092"/>
    <ds:schemaRef ds:uri="a923813a-6fc0-4e7e-9ca3-71dffaa792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3DDC04-B1A9-4FD3-A022-268F0C420325}">
  <ds:schemaRefs>
    <ds:schemaRef ds:uri="http://schemas.microsoft.com/office/2006/metadata/properties"/>
    <ds:schemaRef ds:uri="http://schemas.microsoft.com/office/infopath/2007/PartnerControls"/>
    <ds:schemaRef ds:uri="a923813a-6fc0-4e7e-9ca3-71dffaa792ec"/>
  </ds:schemaRefs>
</ds:datastoreItem>
</file>

<file path=customXml/itemProps4.xml><?xml version="1.0" encoding="utf-8"?>
<ds:datastoreItem xmlns:ds="http://schemas.openxmlformats.org/officeDocument/2006/customXml" ds:itemID="{86EEBBD6-4247-427A-AF74-2AE8F9A0D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7442</Words>
  <Characters>42421</Characters>
  <Application>Microsoft Office Word</Application>
  <DocSecurity>0</DocSecurity>
  <Lines>353</Lines>
  <Paragraphs>99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49764</CharactersWithSpaces>
  <SharedDoc>false</SharedDoc>
  <HLinks>
    <vt:vector size="72" baseType="variant">
      <vt:variant>
        <vt:i4>1441846</vt:i4>
      </vt:variant>
      <vt:variant>
        <vt:i4>68</vt:i4>
      </vt:variant>
      <vt:variant>
        <vt:i4>0</vt:i4>
      </vt:variant>
      <vt:variant>
        <vt:i4>5</vt:i4>
      </vt:variant>
      <vt:variant>
        <vt:lpwstr/>
      </vt:variant>
      <vt:variant>
        <vt:lpwstr>_Toc61129684</vt:lpwstr>
      </vt:variant>
      <vt:variant>
        <vt:i4>1114166</vt:i4>
      </vt:variant>
      <vt:variant>
        <vt:i4>62</vt:i4>
      </vt:variant>
      <vt:variant>
        <vt:i4>0</vt:i4>
      </vt:variant>
      <vt:variant>
        <vt:i4>5</vt:i4>
      </vt:variant>
      <vt:variant>
        <vt:lpwstr/>
      </vt:variant>
      <vt:variant>
        <vt:lpwstr>_Toc61129683</vt:lpwstr>
      </vt:variant>
      <vt:variant>
        <vt:i4>1048630</vt:i4>
      </vt:variant>
      <vt:variant>
        <vt:i4>56</vt:i4>
      </vt:variant>
      <vt:variant>
        <vt:i4>0</vt:i4>
      </vt:variant>
      <vt:variant>
        <vt:i4>5</vt:i4>
      </vt:variant>
      <vt:variant>
        <vt:lpwstr/>
      </vt:variant>
      <vt:variant>
        <vt:lpwstr>_Toc61129682</vt:lpwstr>
      </vt:variant>
      <vt:variant>
        <vt:i4>1245238</vt:i4>
      </vt:variant>
      <vt:variant>
        <vt:i4>50</vt:i4>
      </vt:variant>
      <vt:variant>
        <vt:i4>0</vt:i4>
      </vt:variant>
      <vt:variant>
        <vt:i4>5</vt:i4>
      </vt:variant>
      <vt:variant>
        <vt:lpwstr/>
      </vt:variant>
      <vt:variant>
        <vt:lpwstr>_Toc61129681</vt:lpwstr>
      </vt:variant>
      <vt:variant>
        <vt:i4>1179702</vt:i4>
      </vt:variant>
      <vt:variant>
        <vt:i4>44</vt:i4>
      </vt:variant>
      <vt:variant>
        <vt:i4>0</vt:i4>
      </vt:variant>
      <vt:variant>
        <vt:i4>5</vt:i4>
      </vt:variant>
      <vt:variant>
        <vt:lpwstr/>
      </vt:variant>
      <vt:variant>
        <vt:lpwstr>_Toc61129680</vt:lpwstr>
      </vt:variant>
      <vt:variant>
        <vt:i4>1769529</vt:i4>
      </vt:variant>
      <vt:variant>
        <vt:i4>38</vt:i4>
      </vt:variant>
      <vt:variant>
        <vt:i4>0</vt:i4>
      </vt:variant>
      <vt:variant>
        <vt:i4>5</vt:i4>
      </vt:variant>
      <vt:variant>
        <vt:lpwstr/>
      </vt:variant>
      <vt:variant>
        <vt:lpwstr>_Toc61129679</vt:lpwstr>
      </vt:variant>
      <vt:variant>
        <vt:i4>1703993</vt:i4>
      </vt:variant>
      <vt:variant>
        <vt:i4>32</vt:i4>
      </vt:variant>
      <vt:variant>
        <vt:i4>0</vt:i4>
      </vt:variant>
      <vt:variant>
        <vt:i4>5</vt:i4>
      </vt:variant>
      <vt:variant>
        <vt:lpwstr/>
      </vt:variant>
      <vt:variant>
        <vt:lpwstr>_Toc61129678</vt:lpwstr>
      </vt:variant>
      <vt:variant>
        <vt:i4>1376313</vt:i4>
      </vt:variant>
      <vt:variant>
        <vt:i4>26</vt:i4>
      </vt:variant>
      <vt:variant>
        <vt:i4>0</vt:i4>
      </vt:variant>
      <vt:variant>
        <vt:i4>5</vt:i4>
      </vt:variant>
      <vt:variant>
        <vt:lpwstr/>
      </vt:variant>
      <vt:variant>
        <vt:lpwstr>_Toc61129677</vt:lpwstr>
      </vt:variant>
      <vt:variant>
        <vt:i4>1310777</vt:i4>
      </vt:variant>
      <vt:variant>
        <vt:i4>20</vt:i4>
      </vt:variant>
      <vt:variant>
        <vt:i4>0</vt:i4>
      </vt:variant>
      <vt:variant>
        <vt:i4>5</vt:i4>
      </vt:variant>
      <vt:variant>
        <vt:lpwstr/>
      </vt:variant>
      <vt:variant>
        <vt:lpwstr>_Toc61129676</vt:lpwstr>
      </vt:variant>
      <vt:variant>
        <vt:i4>1507385</vt:i4>
      </vt:variant>
      <vt:variant>
        <vt:i4>14</vt:i4>
      </vt:variant>
      <vt:variant>
        <vt:i4>0</vt:i4>
      </vt:variant>
      <vt:variant>
        <vt:i4>5</vt:i4>
      </vt:variant>
      <vt:variant>
        <vt:lpwstr/>
      </vt:variant>
      <vt:variant>
        <vt:lpwstr>_Toc61129675</vt:lpwstr>
      </vt:variant>
      <vt:variant>
        <vt:i4>1441849</vt:i4>
      </vt:variant>
      <vt:variant>
        <vt:i4>8</vt:i4>
      </vt:variant>
      <vt:variant>
        <vt:i4>0</vt:i4>
      </vt:variant>
      <vt:variant>
        <vt:i4>5</vt:i4>
      </vt:variant>
      <vt:variant>
        <vt:lpwstr/>
      </vt:variant>
      <vt:variant>
        <vt:lpwstr>_Toc61129674</vt:lpwstr>
      </vt:variant>
      <vt:variant>
        <vt:i4>1114169</vt:i4>
      </vt:variant>
      <vt:variant>
        <vt:i4>2</vt:i4>
      </vt:variant>
      <vt:variant>
        <vt:i4>0</vt:i4>
      </vt:variant>
      <vt:variant>
        <vt:i4>5</vt:i4>
      </vt:variant>
      <vt:variant>
        <vt:lpwstr/>
      </vt:variant>
      <vt:variant>
        <vt:lpwstr>_Toc61129673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Kaija Kasekamp</dc:creator>
  <cp:keywords/>
  <dc:description/>
  <cp:lastModifiedBy>Windows User</cp:lastModifiedBy>
  <cp:revision>2</cp:revision>
  <dcterms:created xsi:type="dcterms:W3CDTF">2021-02-07T15:42:00Z</dcterms:created>
  <dcterms:modified xsi:type="dcterms:W3CDTF">2021-02-07T15:42:00Z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0x0101000AD262D50CC57945AD6FEFE9AE2E5436</vt:lpwstr>
  </property>
</Properties>
</file>